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№1495/27.12.2012 по гр. д. №968/2012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968/2012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касационни жалби на С. [фирма] чрез юк. Кр. П. и [фирма] чрез адв. Ил. Ш. като трето лице помагач против решение № 581/12.03.2012 год., постановено по гр. д. № 4208/2011 год. на Софийски апелативен съд, ГО, 7- ми състав, с което след отмяна на решението на Софийски градски съд, ГО, І-13 състав по гр. д. № 12718/2010 год., е постановено ново решение, с което С. – Майчин дом” ЕАД, [населено място] е осъдена да заплати на Л. М. Д. от [населено място] сумата от 70 000 лв. обезщетение за вреди причинени от вещ – асансьорна уредба, ведно със законната лихва, считано от 02.03.2010 год. до окончателно изплащане на сумата.</w:t>
        <w:tab/>
        <w:br/>
        <w:tab/>
        <w:t xml:space="preserve"> </w:t>
        <w:tab/>
        <w:br/>
        <w:tab/>
        <w:t xml:space="preserve"> С касационните жалби са представени изложения на основанията за допустимост на касационното обжалване по чл. 284, ал. 3, т. 1 ГПК. </w:t>
        <w:tab/>
        <w:br/>
        <w:tab/>
        <w:t xml:space="preserve"> </w:t>
        <w:tab/>
        <w:br/>
        <w:tab/>
        <w:t xml:space="preserve"> Ответницата по касация Л. М. Д. оспорва допустимостта на касационното обжалване по двете касационни жалби, както и тяхната основателност по същество в писмен отговор по делото. </w:t>
        <w:tab/>
        <w:br/>
        <w:tab/>
        <w:t xml:space="preserve"> </w:t>
        <w:tab/>
        <w:br/>
        <w:tab/>
        <w:t xml:space="preserve"> Върховният касационен съд, състав на 3-то г. о. с оглед правомощията по чл. 288 ГПК, приема следното: </w:t>
        <w:tab/>
        <w:br/>
        <w:tab/>
        <w:t xml:space="preserve"> </w:t>
        <w:tab/>
        <w:br/>
        <w:tab/>
        <w:t xml:space="preserve"> Касационните жалба са подадени в законоустановения срок, от надлежна страна, които имат право и интерес от обжалването и срещу подлежащ на касационно обжалване съдебен акт, поради което са процесуално допустими. </w:t>
        <w:tab/>
        <w:br/>
        <w:tab/>
        <w:t xml:space="preserve"> </w:t>
        <w:tab/>
        <w:br/>
        <w:tab/>
        <w:t xml:space="preserve"> Изпълнени са и допълнителните изисквания с които законът свързва достъпът до касационното обжалване. </w:t>
        <w:tab/>
        <w:br/>
        <w:tab/>
        <w:t xml:space="preserve"> </w:t>
        <w:tab/>
        <w:br/>
        <w:tab/>
        <w:t xml:space="preserve"> Касационното обжалване следва да се допусне по въпроса за приложението на чл. 49 и чл. 50 ЗЗД и разграничаване на отговорността за непозволено увреждане по двата състава.</w:t>
        <w:tab/>
        <w:br/>
        <w:tab/>
        <w:t xml:space="preserve"> </w:t>
        <w:tab/>
        <w:br/>
        <w:tab/>
        <w:t xml:space="preserve"> Този въпрос се съдържа в изложенията към двете касационни жалби. Същият е бил предмет на разглеждане във въззивното решение, с което предявеният иск е квалифициран като иск за непозволено увреждане причинено от вещ / чл. 50 ЗЗД/, Същият е разрешен в противоречие с ППВС № 17/1963 год. и ППВС №4/ 30.10.1975 год.. С оглед на това касационно обжалване следва да се допусне на осн. чл. 280, ал. 1, т. 1 ГПК.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решение № 581/12.03.2012 год., постановено по гр. д. № 4208/2011 год., на Софийския апелативен съд, ГО, 7- ми състав. </w:t>
        <w:tab/>
        <w:br/>
        <w:tab/>
        <w:t xml:space="preserve"> </w:t>
        <w:tab/>
        <w:br/>
        <w:tab/>
        <w:t xml:space="preserve"> Указва „С. – Майчин дом” Е., [населено място] и [фирма] [населено място] в едноседмичен срок от съобщението да представят доказателства за внесена държавна такса в размер на по 1400 лв. всеки един от тях по сметката на ВКС за разглеждане на касационните им жалби. </w:t>
        <w:tab/>
        <w:br/>
        <w:tab/>
        <w:t xml:space="preserve"> </w:t>
        <w:tab/>
        <w:br/>
        <w:tab/>
        <w:t xml:space="preserve"> В противен случай, касационните жалби ще бъдат върнати. </w:t>
        <w:tab/>
        <w:br/>
        <w:tab/>
        <w:t xml:space="preserve"> </w:t>
        <w:tab/>
        <w:br/>
        <w:tab/>
        <w:t xml:space="preserve"> След представяне на доказателства за внесена държавна такса, делото да се докладва на Председателя на 3-то ГО на ВКС за насрочването му в открито съдебно заседание.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