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№191/14.01.2015 по търг. д. №3046/2013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съществуване на вземането</w:t>
        <w:tab/>
        <w:br/>
        <w:tab/>
        <w:t xml:space="preserve"> </w:t>
        <w:tab/>
        <w:br/>
        <w:tab/>
        <w:t xml:space="preserve">установителен иск в заповедно производство</w:t>
        <w:tab/>
        <w:br/>
        <w:tab/>
        <w:t xml:space="preserve"> </w:t>
        <w:tab/>
        <w:br/>
        <w:tab/>
        <w:t xml:space="preserve">запис на заповед</w:t>
        <w:tab/>
        <w:br/>
        <w:tab/>
        <w:t xml:space="preserve"> </w:t>
        <w:tab/>
        <w:br/>
        <w:tab/>
        <w:t xml:space="preserve">основателност на иск</w:t>
        <w:tab/>
        <w:br/>
        <w:tab/>
        <w:t xml:space="preserve"> </w:t>
        <w:tab/>
        <w:br/>
        <w:tab/>
        <w:t xml:space="preserve">каузално отношение</w:t>
        <w:tab/>
        <w:br/>
        <w:tab/>
        <w:t xml:space="preserve"> </w:t>
        <w:tab/>
        <w:br/>
        <w:tab/>
        <w:t xml:space="preserve">оспорване на истинността на документ</w:t>
        <w:tab/>
        <w:br/>
        <w:tab/>
        <w:t xml:space="preserve"> </w:t>
        <w:tab/>
        <w:br/>
        <w:tab/>
        <w:t xml:space="preserve">Р</w:t>
        <w:tab/>
        <w:br/>
        <w:tab/>
        <w:t xml:space="preserve"/>
        <w:tab/>
        <w:br/>
        <w:tab/>
        <w:t xml:space="preserve">Е</w:t>
        <w:tab/>
        <w:br/>
        <w:tab/>
        <w:t xml:space="preserve"/>
        <w:tab/>
        <w:br/>
        <w:tab/>
        <w:t xml:space="preserve">Ш</w:t>
        <w:tab/>
        <w:br/>
        <w:tab/>
        <w:t xml:space="preserve"/>
        <w:tab/>
        <w:br/>
        <w:tab/>
        <w:t xml:space="preserve">Е</w:t>
        <w:tab/>
        <w:br/>
        <w:tab/>
        <w:t xml:space="preserve"/>
        <w:tab/>
        <w:br/>
        <w:tab/>
        <w:t xml:space="preserve">Н</w:t>
        <w:tab/>
        <w:br/>
        <w:tab/>
        <w:t xml:space="preserve"/>
        <w:tab/>
        <w:br/>
        <w:tab/>
        <w:t xml:space="preserve">И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№ 191</w:t>
        <w:tab/>
        <w:br/>
        <w:tab/>
        <w:t xml:space="preserve"> </w:t>
        <w:tab/>
        <w:br/>
        <w:tab/>
        <w:t xml:space="preserve">София</w:t>
        <w:tab/>
        <w:br/>
        <w:tab/>
        <w:t xml:space="preserve"> </w:t>
        <w:tab/>
        <w:br/>
        <w:tab/>
        <w:t xml:space="preserve">, 14.01.20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В</w:t>
        <w:tab/>
        <w:br/>
        <w:tab/>
        <w:t xml:space="preserve"/>
        <w:tab/>
        <w:br/>
        <w:tab/>
        <w:t xml:space="preserve">И</w:t>
        <w:tab/>
        <w:br/>
        <w:tab/>
        <w:t xml:space="preserve"/>
        <w:tab/>
        <w:br/>
        <w:tab/>
        <w:t xml:space="preserve">М</w:t>
        <w:tab/>
        <w:br/>
        <w:tab/>
        <w:t xml:space="preserve"/>
        <w:tab/>
        <w:br/>
        <w:tab/>
        <w:t xml:space="preserve">Е</w:t>
        <w:tab/>
        <w:br/>
        <w:tab/>
        <w:t xml:space="preserve"/>
        <w:tab/>
        <w:br/>
        <w:tab/>
        <w:t xml:space="preserve">Т</w:t>
        <w:tab/>
        <w:br/>
        <w:tab/>
        <w:t xml:space="preserve"/>
        <w:tab/>
        <w:br/>
        <w:tab/>
        <w:t xml:space="preserve">О</w:t>
        <w:tab/>
        <w:br/>
        <w:tab/>
        <w:t xml:space="preserve"/>
        <w:tab/>
        <w:br/>
        <w:tab/>
        <w:t xml:space="preserve">Н</w:t>
        <w:tab/>
        <w:br/>
        <w:tab/>
        <w:t xml:space="preserve"/>
        <w:tab/>
        <w:br/>
        <w:tab/>
        <w:t xml:space="preserve">А</w:t>
        <w:tab/>
        <w:br/>
        <w:tab/>
        <w:t xml:space="preserve"/>
        <w:tab/>
        <w:br/>
        <w:tab/>
        <w:t xml:space="preserve">Н</w:t>
        <w:tab/>
        <w:br/>
        <w:tab/>
        <w:t xml:space="preserve"/>
        <w:tab/>
        <w:br/>
        <w:tab/>
        <w:t xml:space="preserve">А</w:t>
        <w:tab/>
        <w:br/>
        <w:tab/>
        <w:t xml:space="preserve"/>
        <w:tab/>
        <w:br/>
        <w:tab/>
        <w:t xml:space="preserve">Р</w:t>
        <w:tab/>
        <w:br/>
        <w:tab/>
        <w:t xml:space="preserve"/>
        <w:tab/>
        <w:br/>
        <w:tab/>
        <w:t xml:space="preserve">О</w:t>
        <w:tab/>
        <w:br/>
        <w:tab/>
        <w:t xml:space="preserve"/>
        <w:tab/>
        <w:br/>
        <w:tab/>
        <w:t xml:space="preserve">Д</w:t>
        <w:tab/>
        <w:br/>
        <w:tab/>
        <w:t xml:space="preserve"/>
        <w:tab/>
        <w:br/>
        <w:tab/>
        <w:t xml:space="preserve">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</w:t>
        <w:tab/>
        <w:br/>
        <w:tab/>
        <w:t xml:space="preserve"/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</w:t>
        <w:tab/>
        <w:br/>
        <w:tab/>
        <w:t xml:space="preserve"/>
        <w:tab/>
        <w:br/>
        <w:tab/>
        <w:t xml:space="preserve">колегия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Второ</w:t>
        <w:tab/>
        <w:br/>
        <w:tab/>
        <w:t xml:space="preserve"/>
        <w:tab/>
        <w:br/>
        <w:tab/>
        <w:t xml:space="preserve">отделение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</w:t>
        <w:tab/>
        <w:br/>
        <w:tab/>
        <w:t xml:space="preserve"/>
        <w:tab/>
        <w:br/>
        <w:tab/>
        <w:t xml:space="preserve">съдебно</w:t>
        <w:tab/>
        <w:br/>
        <w:tab/>
        <w:t xml:space="preserve"/>
        <w:tab/>
        <w:br/>
        <w:tab/>
        <w:t xml:space="preserve">заседание</w:t>
        <w:tab/>
        <w:br/>
        <w:tab/>
        <w:t xml:space="preserve"/>
        <w:tab/>
        <w:br/>
        <w:tab/>
        <w:t xml:space="preserve">на</w:t>
        <w:tab/>
        <w:br/>
        <w:tab/>
        <w:t xml:space="preserve"/>
        <w:tab/>
        <w:br/>
        <w:tab/>
        <w:t xml:space="preserve">двадесет и шести ноември две</w:t>
        <w:tab/>
        <w:br/>
        <w:tab/>
        <w:t xml:space="preserve"/>
        <w:tab/>
        <w:br/>
        <w:tab/>
        <w:t xml:space="preserve">хиляди</w:t>
        <w:tab/>
        <w:br/>
        <w:tab/>
        <w:t xml:space="preserve"/>
        <w:tab/>
        <w:br/>
        <w:tab/>
        <w:t xml:space="preserve">и</w:t>
        <w:tab/>
        <w:br/>
        <w:tab/>
        <w:t xml:space="preserve"/>
        <w:tab/>
        <w:br/>
        <w:tab/>
        <w:t xml:space="preserve">четиринадесета година</w:t>
        <w:tab/>
        <w:br/>
        <w:tab/>
        <w:t xml:space="preserve"/>
        <w:tab/>
        <w:br/>
        <w:tab/>
        <w:t xml:space="preserve">в</w:t>
        <w:tab/>
        <w:br/>
        <w:tab/>
        <w:t xml:space="preserve"/>
        <w:tab/>
        <w:br/>
        <w:tab/>
        <w:t xml:space="preserve">състав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</w:t>
        <w:tab/>
        <w:br/>
        <w:tab/>
        <w:t xml:space="preserve"/>
        <w:tab/>
        <w:br/>
        <w:tab/>
        <w:t xml:space="preserve">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при</w:t>
        <w:tab/>
        <w:br/>
        <w:tab/>
        <w:t xml:space="preserve"/>
        <w:tab/>
        <w:br/>
        <w:tab/>
        <w:t xml:space="preserve">секретаря Ирена Велчева</w:t>
        <w:tab/>
        <w:br/>
        <w:tab/>
        <w:t xml:space="preserve"> </w:t>
        <w:tab/>
        <w:br/>
        <w:tab/>
        <w:t xml:space="preserve">изслуша</w:t>
        <w:tab/>
        <w:br/>
        <w:tab/>
        <w:t xml:space="preserve"/>
        <w:tab/>
        <w:br/>
        <w:tab/>
        <w:t xml:space="preserve">докладваното</w:t>
        <w:tab/>
        <w:br/>
        <w:tab/>
        <w:t xml:space="preserve"/>
        <w:tab/>
        <w:br/>
        <w:tab/>
        <w:t xml:space="preserve">от</w:t>
        <w:tab/>
        <w:br/>
        <w:tab/>
        <w:t xml:space="preserve"/>
        <w:tab/>
        <w:br/>
        <w:tab/>
        <w:t xml:space="preserve">съдия</w:t>
        <w:tab/>
        <w:br/>
        <w:tab/>
        <w:t xml:space="preserve"/>
        <w:tab/>
        <w:br/>
        <w:tab/>
        <w:t xml:space="preserve">Камелия</w:t>
        <w:tab/>
        <w:br/>
        <w:tab/>
        <w:t xml:space="preserve"/>
        <w:tab/>
        <w:br/>
        <w:tab/>
        <w:t xml:space="preserve">Ефремова</w:t>
        <w:tab/>
        <w:br/>
        <w:tab/>
        <w:t xml:space="preserve"> </w:t>
        <w:tab/>
        <w:br/>
        <w:tab/>
        <w:t xml:space="preserve"> т.</w:t>
        <w:tab/>
        <w:br/>
        <w:tab/>
        <w:t xml:space="preserve"> </w:t>
        <w:tab/>
        <w:br/>
        <w:tab/>
        <w:t xml:space="preserve"> д.</w:t>
        <w:tab/>
        <w:br/>
        <w:tab/>
        <w:t xml:space="preserve"/>
        <w:tab/>
        <w:br/>
        <w:tab/>
        <w:t xml:space="preserve">№</w:t>
        <w:tab/>
        <w:br/>
        <w:tab/>
        <w:t xml:space="preserve"/>
        <w:tab/>
        <w:br/>
        <w:tab/>
        <w:t xml:space="preserve">3046/2013г.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касационна жалба на М. П. Д. от [населено място] против решение № 38 от 12.02.2013 г. по в. т. д. № 653/2012 г. на Варненски апелативен съд, с което е потвърдено постановеното от Варненски окръжен съд решение № 1221 от 13.07.2012 г. по т. д. № 2581/2011 г. С първоинстанционния акт е уважен предявеният от В. Н. И. от [населено място] срещу касатора положителен установителен иск с правно основание чл. 422 ГПК за признаване съществуването на вземане в размер на сумата 88 229 лв., произтичащо от запис на заповед от 16.10.2009 г., с присъждане на законна лихва върху нея от датата на подаване на заявлението – 10.12.2010 г. до окончателното й изплащане, за която сума е издадена заповед за незабавно изпълнение № 11467 от 11.12.2010 г. по ч. гр. д. № 19659/2010 г. на Варненски районен съд.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 е недопустимо и неправилно. Оплакването за недопустимост е аргументирано с твърдението за нередовност на исковата молба, произтичаща от непосочването в нея на сключения между страните договор за заем от 16.10.2009 г., във връзка с който е издаден процесният запис на заповед от същата дата. Според касатора, пороци, водещи до неправилност на обжалвания акт, са: неправилна интерпретация на доказателствата, непълното изследване, частичното им игнориране, необсъждане на основни възражения срещу дължимостта на исковата сума и обосноваване на решението с несъответстващи на логическите и правни правила съждения. Изразява несъгласие с извода за наличие на сключен договор за заем, като твърди, че решаващият състав не е отчел липсата на подпис върху първата страница от същия, както и липсата на доказателства за реално предаване на отразената в него сума. Освен това счита, че в резултат на допуснати процесуални нарушения при обсъждането на събраните по делото гласни доказателства съдът неправилно е преценил за недоказано възражението му за подписване на записа на заповед поради измама и заплаха.</w:t>
        <w:tab/>
        <w:br/>
        <w:tab/>
        <w:t xml:space="preserve"> </w:t>
        <w:tab/>
        <w:br/>
        <w:tab/>
        <w:t xml:space="preserve">Касационното обжалване на въззивното решение е допуснато с определение № 489 от 30.07.2014 г. по настоящото дело, на основание чл. 280, ал. 1, т. 3 ГПК, по въпроса:</w:t>
        <w:tab/>
        <w:br/>
        <w:tab/>
        <w:t xml:space="preserve"> </w:t>
        <w:tab/>
        <w:br/>
        <w:tab/>
        <w:t xml:space="preserve"> При извършване на преценка за основателността на иска по чл. 422 ГПК следва ли да бъде съобразено направеното от ищеца в първото съдебно заседание по делото твърдение за наличие на каузално отношение като причина за издаване на записа на заповед и съответно да бъде взето предвид представеното в подкрепа на това твърдение писмено доказателство.</w:t>
        <w:tab/>
        <w:br/>
        <w:tab/>
        <w:t xml:space="preserve"> </w:t>
        <w:tab/>
        <w:br/>
        <w:tab/>
        <w:t xml:space="preserve">Ответницата по касация – В. Н. И. от [населено място] – не заявява становище по основателността на касационната жалба.</w:t>
        <w:tab/>
        <w:br/>
        <w:tab/>
        <w:t xml:space="preserve"> </w:t>
        <w:tab/>
        <w:br/>
        <w:tab/>
        <w:t xml:space="preserve">Върховен касационен съд – състав на Търговска колегия, Второ отделение, като прецени данните по делото, с оглед заявените касационни основания и съобразно правомощията си по чл. 290, ал. 2 ГПК,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уважен предявеният положителен установителен иск с правно основание чл. 422, ал. 1 ГПК за дължимост на сумата 88 229 лв. по заповед за незабавно изпълнение № 11467 от 11.12.2010 г., издадена по ч. гр. д. № 19659/2010 г. на Варненски районен съд, по реда на чл. 417, т. 9 ГПК, въз основа на запис на заповед от 16.10.20009 г., въззивният съд е приел за безспорно доказано съществуването на вземане за посочената сума в полза на В. Н. И. от [населено място] срещу М. П. Д. от [населено място] - издател на записа на заповед по съображения, че: записът на заповед съдържа всички задължителни реквизити по чл. 535 ТЗ; доколкото в него не са поставени условия за плащане на сумата, за спазено следва да се счете и изискването на чл. 535, т. 2 ТЗ за безусловно плащане; падежът на записа е определен по реда на чл. 486, ал. 1, т. 4 ТЗ с посочването на конкретен ден – 10.09.2010 г. Като неоснователно решаващият състав е преценил възражението на ответника по иска, че процесният запис на заповед е подписан поради заплаха и при измама от страна на ищцата, като е счел, че показанията на доведените от ответника свидетели Д. (негови родители) не следва да бъдат кредитирани не само поради евентуалната им заинтересованост, но и поради това, че имат опосреден характер, доколкото пресъздават преимуществено споделените от ответника впечатления и възприятия с акцент върху страховите му представи и стреса, касаещи действията по събиране на дълга, т. е. действия които не предхождат, а следват подписването на записа на заповед.</w:t>
        <w:tab/>
        <w:br/>
        <w:tab/>
        <w:t xml:space="preserve"> </w:t>
        <w:tab/>
        <w:br/>
        <w:tab/>
        <w:t xml:space="preserve">За недоказано е прието и другото основно възражение на ответника – за безпаричност на записа на заповед. В тази връзка съдът, позовавайки се на задължителната съдебна практика (решение № 143 от 01.02.2013 г. по т. д. № 870/2011 г. на ВКС, І т. о.), е приел, че не подлежи на изследване съществуването на вътрешно правоотношение между издателя и поемателя по записа на заповед, но доколкото такова може и е въведено от самия ищец с представянето на договор за заем между страните от 16.10.2009 г., в случая е безспорно установено наличието на каузално правоотношение и връзката на същото с процесния запис на заповед, за която е без значение, че записът на заповед е издаден само за главницата, но не и за уговорената в договора възнаградителна лихва, доколкото менителничният ефект може да бъде издаден както за цялото задължение, така и за части от него. Според съдебния състав, предаването на сумата по договора за заем е доказано от самия него, предвид клаузите на чл. 2 и чл. 4, удостоверяващи този факт и придаващи на договора в тази му част характер на разписка. Поради несвоевременното му заявяване не е обсъждано направеното от ответника оспорване на договора като подправен документ и твърдението му за подмяна на първата страница. Като ирелевантни за спора са определени доводите на ответника, че ищцата не е разполагала с финансова възможност да му предостави заем, както и че е предприела принудително събиране на дълга чрез услугите на посредническа фирма и то преди настъпване на падежа му.</w:t>
        <w:tab/>
        <w:br/>
        <w:tab/>
        <w:t xml:space="preserve"> </w:t>
        <w:tab/>
        <w:br/>
        <w:tab/>
        <w:t xml:space="preserve">Не е възприето и оплакването за нередовност на исковата молба, обосновано с липсата на посочване в нея на каузалното отношение, заради което е издаден записът на заповед. В тази връзка съдът е отчел, че каузалното отношение не е елемент от основанието на предявения иск и че изследването му е въпрос, свързан със защитната процесуална позиция на ответника, а не с редовността на исковата молба.</w:t>
        <w:tab/>
        <w:br/>
        <w:tab/>
        <w:t xml:space="preserve"> </w:t>
        <w:tab/>
        <w:br/>
        <w:tab/>
        <w:t xml:space="preserve">По обусловилия допускането на касационното обжалване въпрос настоящият състав приема следното:</w:t>
        <w:tab/>
        <w:br/>
        <w:tab/>
        <w:t xml:space="preserve"> </w:t>
        <w:tab/>
        <w:br/>
        <w:tab/>
        <w:t xml:space="preserve">Съгласно т. 17 от приетото в хода на процеса Тълкувателно решение № 4 от 18.06.2014 г. на ОСГТК на ВКС: Предметът на делото по иска, предявен по реда на чл. 422 ГПК, се определя от правното твърдение на ищеца в исковата молба за съществуването на подлежащо на изпълнение вземане, за което е издадена заповедта за изпълнение; Подлежащото на изпълнение вземане в хипотезата на издадена заповед за изпълнение по чл. 417, т. 9 ГПК въз основа на запис на заповед е вземането по редовен от външна страна менителничен ефект; С въвеждането на твърдения или възражения от поемателя или от издателя за наличието на каузално правоотношение, по повод или във връзка с което е издаден редовният запис на заповед, се разкрива основанието на поетото задължение за плащане или обезпечителния характер на ценната книга; В тази хипотеза в производството по чл. 422 ГПК на изследване подлежи и каузалното правоотношение доколкото възраженията, основани на това правоотношение, биха имали за последица погасяване на вземането по записа на заповед.</w:t>
        <w:tab/>
        <w:br/>
        <w:tab/>
        <w:t xml:space="preserve"> </w:t>
        <w:tab/>
        <w:br/>
        <w:tab/>
        <w:t xml:space="preserve">Твърдението за наличие на каузално правоотношение може да бъде въведено от всяка от страните в процеса не само в исковата молба, респ. в отговора на същата, но и до края на първото съдебно заседание по делото при изясняване на спора от фактическа страна. Този извод следва от нормата на чл. 143, ал. 2ГПК, изрично предвиждаща възможността ищецът да поясни и допълни исковата молба, както и да посочи и представи доказателства във връзка с направените оспорвания от ответника, а ответникът – да посочи и представи нови доказателства, които не е могъл да посочи и представи с отговора на исковата молба. Цитираната разпоредба цели да гарантира пълно изясняване на делото от фактическа страна и прилагане на един от основните принципи на гражданския процес – за установяване на истината, прокламиран в чл. 10 ГПК. Посочването на каузално правоотношение като причина за издаването на записа на заповед, с оглед заявеното в отговора на исковата молба възражение на ответника за недължимост на сумата по ценната книга, представлява именно поясняване на исковата молба по смисъла на чл. 143, ал. 2ГПК и поради това е допустимо да бъде извършено в рамките на първото заседание по делото. Допустимо съответно е и представянето на доказателства, установяващи наличието на каузална сделка. </w:t>
        <w:tab/>
        <w:br/>
        <w:tab/>
        <w:t xml:space="preserve"> </w:t>
        <w:tab/>
        <w:br/>
        <w:tab/>
        <w:t xml:space="preserve"> Изложените съображения налагат следния отговор на значимия за спора въпрос: </w:t>
        <w:tab/>
        <w:br/>
        <w:tab/>
        <w:t xml:space="preserve"> </w:t>
        <w:tab/>
        <w:br/>
        <w:tab/>
        <w:t xml:space="preserve">При извършване на преценка за основателността на иска по чл. 422 ГПК следва да бъде съобразено направеното от ищеца в първото съдебно заседание по делото твърдение за наличие на каузално отношение като причина за издаване на записа на заповед и съответно да бъде взето предвид представеното в подкрепа на това твърдение писмено доказателство.</w:t>
        <w:tab/>
        <w:br/>
        <w:tab/>
        <w:t xml:space="preserve"> </w:t>
        <w:tab/>
        <w:br/>
        <w:tab/>
        <w:t xml:space="preserve">С оглед така дадения отговор на въпроса, по който е допуснато касационното обжалване, настоящият състав приема, че въззивният съд правилно е счел за подлежащо на обсъждане наличието на твърдяното от ищцата каузално правоотношение – договор за заем от 16.10.2009г. и връзката му с процесния запис на заповед. Като законосъобразно следва да се прецени и приобщаването към доказателствата по делото на самия договор за заем, представен в същото заседание.</w:t>
        <w:tab/>
        <w:br/>
        <w:tab/>
        <w:t xml:space="preserve"> </w:t>
        <w:tab/>
        <w:br/>
        <w:tab/>
        <w:t xml:space="preserve">Неправилно, обаче, решаващият състав е приел, че оспорването на договора е направено след преклузивния срок по чл. 193, ал. 1 ГПК и поради това е отказал да допусне поисканата в тази връзка експертиза. В протокола от първото съдебно заседание на 05.03.2012 г. е отразено изричното становище на ответника, че „оспорва” договора. Действително, същият не е уточнил в какъв смисъл е оспорването му, а е направил това впоследствие с депозираната след заседанието молба вх. № 15523 от 14.05.2012 г. Доколкото, обаче, съдът не е указал на страната да уточни оспорването на документа, т. е. не е изпълнил задължението си да съдейства на страните за надлежното упражняване на процесуалните им права и за изясняване на делото от фактическа и правна страна, което задължение произтича от принципа за служебното начало (чл. 7 ГПК), правото на ответника да уточни становището си по оспорване на процесния договор за заем и за ангажиране на доказателства във връзка с него не може да се счете преклудирано. Ето защо, при направено в тази насока изрично оплакване във въззивната жалба, решаващият състав е следвало да открие производство по оспорване истинността на спорния документ по реда на чл. 193, ал. 2 ГПК и да допусне поисканата от ответника в молбата му от 14.05.2012 г. експертиза за изследване на същия. Приетото в обжалвания акт в обратен смисъл е в противоречие с процесуалния закон и налага отмяната му като неправилен и връщане на делото на въззивната инстанция за ново разглеждане, при което следва да бъдат извършени посочените по-горе съдопроизводствени действия. </w:t>
        <w:tab/>
        <w:br/>
        <w:tab/>
        <w:t xml:space="preserve"> </w:t>
        <w:tab/>
        <w:br/>
        <w:tab/>
        <w:t xml:space="preserve">При разглеждането на спора по същество въззивният съд, съгласно чл. 294, ал. 2 ГПК, дължи произнасяне и по разноските, направени в настоящото производство.</w:t>
        <w:tab/>
        <w:br/>
        <w:tab/>
        <w:t xml:space="preserve"> </w:t>
        <w:tab/>
        <w:br/>
        <w:tab/>
        <w:t xml:space="preserve">Така мотивиран, на основание чл. 293, ал. 3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38 от 12.02.2013 г. по в. т. д. № 653/2012 г. на Варненски апелативен съд.</w:t>
        <w:tab/>
        <w:br/>
        <w:tab/>
        <w:t xml:space="preserve"/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</w:t>
        <w:tab/>
        <w:br/>
        <w:tab/>
        <w:t xml:space="preserve"/>
        <w:tab/>
        <w:br/>
        <w:tab/>
        <w:t xml:space="preserve">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