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№556/23.02.2026 по търг. д. №360/2026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556</w:t>
        <w:tab/>
        <w:br/>
        <w:tab/>
        <w:t xml:space="preserve"/>
        <w:tab/>
        <w:br/>
        <w:tab/>
        <w:t xml:space="preserve"> гр. София, 23.02.2026 г.</w:t>
        <w:tab/>
        <w:br/>
        <w:tab/>
        <w:t xml:space="preserve"/>
        <w:tab/>
        <w:br/>
        <w:tab/>
        <w:t xml:space="preserve">ВЪРХОВЕН КАСАЦИОНЕН СЪД, 1-ВО ТО 4-ТИ СЪСТАВ, в закрито заседание на двадесети февруари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Десислава Добрева Касационно търговско дело № 20268002900360 по описа за 2026 година</w:t>
        <w:tab/>
        <w:br/>
        <w:tab/>
        <w:t xml:space="preserve"/>
        <w:tab/>
        <w:br/>
        <w:tab/>
        <w:t xml:space="preserve">Производството е образувано по искова молба, подадена от Община Чирпан чрез процесуален представител адвокат В. Ц., за прогласяване нищожност на основание чл. 47, ал. 2 от Закона за арбитража, евентуално отмяна на основание чл. 47, ал. 1, т. 2, т. 4 и т. 6 от Закона за арбитража на арбитражно решение № 3-108 от 07.07.2025 г. по арб. дело № 3-08/2025 г. на арбитър „ad hoc“ Г.М.</w:t>
        <w:tab/>
        <w:br/>
        <w:tab/>
        <w:t xml:space="preserve"/>
        <w:tab/>
        <w:br/>
        <w:tab/>
        <w:t xml:space="preserve">Исковата молба не отговаря на изискванията на чл. 127 ГПК и чл. 128 ГПК, поради което с разпореждане № 426 от 19.02.2026 г. на председателя на I отделение на Търговска колегия на Върховния касационен съд на ищеца са дадени подробни указания за отстраняване на нередовността на исковата молба в едноседмичен срок от получаване на съобщението. По делото не са налице данни дали съобщението е връчено на ищеца.</w:t>
        <w:tab/>
        <w:br/>
        <w:tab/>
        <w:t xml:space="preserve"/>
        <w:tab/>
        <w:br/>
        <w:tab/>
        <w:t xml:space="preserve">С исковата молба е заявено искане за спиране на изпълнението на арбитражно решение № 3-108 от 07.07.2025 г. по арб. дело № 3-08/2025 г. на арбитър „ad hoc“ Г.М.на основание чл. 48, ал. 4, изр. 2 от Закона за арбитража.</w:t>
        <w:tab/>
        <w:br/>
        <w:tab/>
        <w:t xml:space="preserve"/>
        <w:tab/>
        <w:br/>
        <w:tab/>
        <w:t xml:space="preserve">Една от предпоставките за спиране на изпълнението на арбитражното решение е предявяването на редовна искова молба, която следва да отговаря на изискванията на чл. 127 ГПК и чл. 128 ГПК. Предвид дадената възможност на ищеца за отстраняване нередовността на исковата молба, настоящият съдебен състав счита, че следва да се произнесе по поддържаното с молбата искане по чл. 48, ал. 4, изр. 2 от Закона за арбитража след отстраняване нередовността на исковата молба, поради което делото следва да му се докладва след изтичане на указания срок по чл. 129 ГПК с разпореждане № 426 от 19.02.2026 г. на председателя на I отделение на Търговска колегия на Върховния касационен съд или след постъпване на молба за изпълнение на указанията по посочения съдебен акт.</w:t>
        <w:tab/>
        <w:br/>
        <w:tab/>
        <w:t xml:space="preserve"/>
        <w:tab/>
        <w:br/>
        <w:tab/>
        <w:t xml:space="preserve">Мотивиран от изложеното,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ДЕЛОТО ДА СЕ ДОКЛАДВА за произнасяне по искането по чл. 48, ал. 4, изр. 2 от Закона за арбитража след изтичане на указания срок по чл. 129 ГПК с разпореждане № 426 от 19.02.2026 г. на Председателя на I отделение на Търговска колегия на Върховния касационен съд или след постъпване на молба за изпълнение на указанията по посочения съдебен акт.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