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№553/23.02.2026 по търг. д. №358/2026 на ВКС, ТК, 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553</w:t>
        <w:tab/>
        <w:br/>
        <w:tab/>
        <w:t xml:space="preserve"/>
        <w:tab/>
        <w:br/>
        <w:tab/>
        <w:t xml:space="preserve"> гр. София, 23.02.2026 г.</w:t>
        <w:tab/>
        <w:br/>
        <w:tab/>
        <w:t xml:space="preserve"/>
        <w:tab/>
        <w:br/>
        <w:tab/>
        <w:t xml:space="preserve"> ВЪРХОВЕН КАСАЦИОНЕН СЪД, 1-ВО ТЪРГОВСКО ОТДЕЛЕНИЕ</w:t>
        <w:tab/>
        <w:br/>
        <w:tab/>
        <w:t xml:space="preserve"/>
        <w:tab/>
        <w:br/>
        <w:tab/>
        <w:t xml:space="preserve">1-ВИ СЪСТАВ, в закрито заседание на двадесети февруари през две хиляди двадесет и шеста година в следния състав:</w:t>
        <w:tab/>
        <w:br/>
        <w:tab/>
        <w:t xml:space="preserve"/>
        <w:tab/>
        <w:br/>
        <w:tab/>
        <w:t xml:space="preserve"> Председател:Вероника Николова</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като разгледа докладваното от Мирослава Кацарска Касационно търговско дело № 20268002900358 по описа за 2026 година</w:t>
        <w:tab/>
        <w:br/>
        <w:tab/>
        <w:t xml:space="preserve"/>
        <w:tab/>
        <w:br/>
        <w:tab/>
        <w:t xml:space="preserve"> за да се произнесе, взе предвид следното:</w:t>
        <w:tab/>
        <w:br/>
        <w:tab/>
        <w:t xml:space="preserve"/>
        <w:tab/>
        <w:br/>
        <w:tab/>
        <w:t xml:space="preserve">Производството е образувано по искова молба на Община Чирпан за отмяна на основание чл. 47, ал. 1, т. 2, т. 4 и т. 6 ЗА на арбитражно решение № 3-107 от 06.07.2025 г. по арб. д. № 3-07/2025 г. на арбитър “ad hoc” Георги Михайлов. В молбата е заявено искане за спиране на изпълнението на арбитражното решение на основание чл. 48, ал. 4, изр. 2 ЗА, като се твърди наличие на убедителни доказателства за основателността на иска. Молбата е подадена от адв. В. Ц., но без да е приложено пълномощно.</w:t>
        <w:tab/>
        <w:br/>
        <w:tab/>
        <w:t xml:space="preserve"/>
        <w:tab/>
        <w:br/>
        <w:tab/>
        <w:t xml:space="preserve">Исковата молба не отговаря на изискванията на чл. 127 ГПК и чл. 128 ГПК, което е констатирано с разпореждане № 420/19.02.2026 г. на Председателя на I ТО на Търговска колегия на Върховния касационен съд. Със същото разпореждане на ищеца са дадени указания за отстраняване на нередовностите в едноседмичен срок от съобщаването му. Същите са не само по внасяне на дължимата държавна такса по исковата молба, но и за представяне на пълномощно, преписи от исковата молба и др. Няма данни указанията да са връчени на ищеца.</w:t>
        <w:tab/>
        <w:br/>
        <w:tab/>
        <w:t xml:space="preserve"/>
        <w:tab/>
        <w:br/>
        <w:tab/>
        <w:t xml:space="preserve">Настоящият състав на съда като съобрази, че предпоставка за разглеждане на искането за спиране изпълнението на арбитражното решение е редовното му сезиране с искова молба, отговаряща на изискванията на чл. 127 ГПК и чл. 128 ГПК, намира, че по заявеното с молбата искане по чл. 48, ал. 4, изр. второ ЗА следва да се произнесе след отстраняване нередовностите на исковата молба, за което делото да му се докладва след изтичане на указания срок по чл. 129 ГПК с разпореждане № 420 от 19.02.2026 г. на Председателя на I ТО на Търговска колегия на Върховния касационен съд или постъпване на молба за изпълнение на указанията по съдебния акт. Воден от горното Върховният касационен съд, Търговска колегия, състав на Първо т. о.</w:t>
        <w:tab/>
        <w:br/>
        <w:tab/>
        <w:t xml:space="preserve"/>
        <w:tab/>
        <w:br/>
        <w:tab/>
        <w:t xml:space="preserve"> ОПРЕДЕЛИ:</w:t>
        <w:tab/>
        <w:br/>
        <w:tab/>
        <w:t xml:space="preserve"/>
        <w:tab/>
        <w:br/>
        <w:tab/>
        <w:t xml:space="preserve">ДЕЛОТО ДА СЕ ДОКЛАДВА за произнасяне по искането по чл. 48, ал. 4, изр. второ ЗА след изтичане на указания срок по чл. 129 ГПК с разпореждане № 420 от 19.02.2026 г. на Председателя на I ТО на Търговска колегия на Върховния касационен съд или постъпване на молба за изпълнение на указанията по съдебния акт.</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