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№772/16.03.2026 по търг. д. №329/2026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1 от ОПРЕДЕЛЕНИЕ</w:t>
        <w:tab/>
        <w:br/>
        <w:tab/>
        <w:t xml:space="preserve"/>
        <w:tab/>
        <w:br/>
        <w:tab/>
        <w:t xml:space="preserve">№ 772</w:t>
        <w:tab/>
        <w:br/>
        <w:tab/>
        <w:t xml:space="preserve"/>
        <w:tab/>
        <w:br/>
        <w:tab/>
        <w:t xml:space="preserve">16.03.2026 г., [населено място]ВЪРХОВНИЯТ КАСАЦИОНЕН СЪД на Република България, Търговска колегия, Първо отделение, 5-ти състав, в закрито заседание на пети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Костадинова к. т.д. № 329/2026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В. Щ. П. обжалва Решение № 341/14.11.2025 г. по в. гр. д. № 412/2025 г. на ОС-Смолян, с което е потвърдено Решение № 37/09.06.2025 г. по гр. д. № 20/2025 г. на РС-Чепеларе за отхвърляне на исковете й срещу „ЕОС МАТРИКС“ ЕАД с правно основание чл. 439 ГПК, предявени за установяване недължимост на присъдени със заповед за изпълнение вземания по договор за потребителски кредит.</w:t>
        <w:tab/>
        <w:br/>
        <w:tab/>
        <w:t xml:space="preserve"/>
        <w:tab/>
        <w:br/>
        <w:tab/>
        <w:t xml:space="preserve">Делото е гражданско. Съгласно чл. 280, ал. 3, т. 1 ГПК не подлежат на касационно обжалване решенията по въззивни граждански дела с цена на иска под 2 556,46 евро. В случая касаторът отрича съществуването на вземания, чието възникване е подчинено на различен фактически състав, и поради това оспорването им е предмет на отделен иск. Следователно не сборът им, а размерът им поотделно определя допустимостта на касационното обжалване. И тъй като всяко от процесните вземания е с цена под законовия праг на обжалваемостта (съответно 2 406,43 евро – главница, 2 418,21 евро – законна лихва и 239,28 евро – разноски), касационната жалба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При тези съображения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В. Щ. П. срещу Решение № 341/14.11.2025 г. по в. гр. д. № 412/2025 г. на ОС-Смолян.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с частна жалба в едноседмичен срок от връчване на препис на касатора.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