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№906/24.03.2026 по търг. д. №359/2026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906</w:t>
        <w:tab/>
        <w:br/>
        <w:tab/>
        <w:t xml:space="preserve"/>
        <w:tab/>
        <w:br/>
        <w:tab/>
        <w:t xml:space="preserve">гр. София, 24.03.2026г.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осемнадесети март през две хиляди двадесет и шеста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Боян Балевски касационно търговско дело № 359 по описа за 2026 година, взе предвид следното:</w:t>
        <w:tab/>
        <w:br/>
        <w:tab/>
        <w:t xml:space="preserve"/>
        <w:tab/>
        <w:br/>
        <w:tab/>
        <w:t xml:space="preserve">Постъпила е молба вх. № 4799/10.03.2026 г. на молителя Община Чирпан във връзка с разпореждане № 408/19.02.2026 г., с която част от посочените на молителя нередовности на подадената молба за отмяна на арбитражно решение (за внасяне на държавна такса за възпроизвеждане на исковата молба и приложенията на хартиен носител и за представяне на доказателства за правосубектността на ответника) са отстранени.</w:t>
        <w:tab/>
        <w:br/>
        <w:tab/>
        <w:t xml:space="preserve"/>
        <w:tab/>
        <w:br/>
        <w:tab/>
        <w:t xml:space="preserve">Във връзка с последната нередовност на молбата за отмяна, изразяваща се в липса на доказателства за внесена държавна такса в размер на 1 514,70 евро, е направено искане за продължаване на основание чл. 63 ГПК на срока за отстраняване на нередовността с шест месеца.</w:t>
        <w:tab/>
        <w:br/>
        <w:tab/>
        <w:t xml:space="preserve"/>
        <w:tab/>
        <w:br/>
        <w:tab/>
        <w:t xml:space="preserve">Така направеното преди изтичането на първоначалния срок за изпълнение (12.03.2026 г.) искане по чл. 63 от ГПК съдът намери за частично основателно с оглед изложените от молителя обстоятелства за липса на възможност за разпореждане с част от средствата по банковите сметки на общината и за необходимост от съобразяване с разчетите в общинския бюджет във връзка с ограничението по чл. 98, ал. 1 от ЗПФ до ограничаване размера на разходите, които обосновават извод за съществуващо затруднение за молителя за заплащане на държавната такса.</w:t>
        <w:tab/>
        <w:br/>
        <w:tab/>
        <w:t xml:space="preserve"/>
        <w:tab/>
        <w:br/>
        <w:tab/>
        <w:t xml:space="preserve">Поради това и с оглед гарантиране правото на съдебна защита искането за продължаване на срока следва да бъде уважено. По отношение на продължителността на новия срок обаче следва да се съобрази и необходимостта от разрешаване на спора в разумен срок, поради което срокът следва да бъде продължен с три месеца, считано от изтичането на първоначалния срок на 12.03.2026 г., или до 12.06.2026 г. вкл.</w:t>
        <w:tab/>
        <w:br/>
        <w:tab/>
        <w:t xml:space="preserve"/>
        <w:tab/>
        <w:br/>
        <w:tab/>
        <w:t xml:space="preserve">С тези мотиви съдътОПРЕДЕЛИ:ПРОДЪЛЖАВА на основание чл. 63 ГПК определения с разпореждане № 408/19.02.2026 г. срок за отстраняване нередовностите на исковата молба с три месеца до 12.06.2026 г. вкл.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