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№152/16.01.2025 по търг. д. №933/2023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152</w:t>
        <w:tab/>
        <w:br/>
        <w:tab/>
        <w:t xml:space="preserve"/>
        <w:tab/>
        <w:br/>
        <w:tab/>
        <w:t xml:space="preserve">София, 16.01.2025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десети януари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933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С протокол от 11.12.2024 г. и въз основа на разпореждане № 48/06.12.2024 г., постановено от заместника на председателя на ВКС и ръководител на ТК при ВКС, настоящото дело е преразпределено на съдията докладчик Красимир Машев, който следва да се произнесе по делото с членовете на постоянния съдебен състав, с който заседава.</w:t>
        <w:tab/>
        <w:br/>
        <w:tab/>
        <w:t xml:space="preserve"/>
        <w:tab/>
        <w:br/>
        <w:tab/>
        <w:t xml:space="preserve">Съгласно по-горе описаното разпореждане делото трябва да бъде насрочено в закрито съдебно заседание.</w:t>
        <w:tab/>
        <w:br/>
        <w:tab/>
        <w:t xml:space="preserve"/>
        <w:tab/>
        <w:br/>
        <w:tab/>
        <w:t xml:space="preserve">Воден от тези мотиви,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НАСРОЧВА за 14.01.2025 г. закрито съдебно заседание по делото по допускане на касационното обжалване по реда на чл. 288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