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№784/18.02.2025 по гр. д. №4519/2024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784</w:t>
        <w:tab/>
        <w:br/>
        <w:tab/>
        <w:t xml:space="preserve"/>
        <w:tab/>
        <w:br/>
        <w:tab/>
        <w:t xml:space="preserve">гр.София, 18.02.2025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единадесети февруари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ЧЛЕНОВЕ: Борис Р.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4519/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 делото е постановено определение № 5477/ 27.11.2024 г., в сила от 21.12.2024 г., с което е оставена без разглеждане молба с вх. № 10529/ 12.03.2024 г. на „Виктори Проджектс“ ЕООД, гр.Хасково, за отмяна на влязлото в сила решение № 1411/ 23.06.2023 г. по гр. д.№ 2495/ 2022 г. на Бургаски районен съд и е прекратено производството по делото, като „Виктори Проджектс“ ЕООД, е осъдено да заплати на Н. Д., Федерална Република Германия, 2 718,62 евро /две хиляди седемстотин и осемнадесет евро, шестдесет и два евроцента/ разноски.</w:t>
        <w:tab/>
        <w:br/>
        <w:tab/>
        <w:t xml:space="preserve"/>
        <w:tab/>
        <w:br/>
        <w:tab/>
        <w:t xml:space="preserve">Молителят „Виктори Проджектс“ ЕООД е поискал изменение на така постановеното определение в частта за разноските. Твърди, платеното адвокатско възнаграждение е прекомерно спрямо фактическата и правна сложност на спора. Процесуалният представител на Н. Д. бил запознат с основното производство и по молбата за отмяна не се изисквали допълнителни усилия за защита правата на ответната страна. Прави искане възнаграждението на този представител да бъде редуцирано до размер 500 лв, евентуално – до минималния размер, предвиден в Наредба № 1 от 9.07.2004 г. за минималните размери на адвокатските възнаграждения /НМРАВ/.</w:t>
        <w:tab/>
        <w:br/>
        <w:tab/>
        <w:t xml:space="preserve"/>
        <w:tab/>
        <w:br/>
        <w:tab/>
        <w:t xml:space="preserve">Ответната страна Н. Д. оспорва искането. Поддържа, че уговореното и платено възнаграждение на адвокат за защита срещу подадената молба за отмяна е в минималния предвиден в НМРАВ размер. Позовава се на съдебна практика, според която съдът не може да намали възнаграждението под минималния предвиден в НМРАВ размер. Поддържа също, че делото е със значителна правна и фактическа сложност.</w:t>
        <w:tab/>
        <w:br/>
        <w:tab/>
        <w:t xml:space="preserve"/>
        <w:tab/>
        <w:br/>
        <w:tab/>
        <w:t xml:space="preserve">Съдът намира молбата за допустима, а разгледана по същество – за частично основателна.</w:t>
        <w:tab/>
        <w:br/>
        <w:tab/>
        <w:t xml:space="preserve"/>
        <w:tab/>
        <w:br/>
        <w:tab/>
        <w:t xml:space="preserve">Молителят не оспорва извършването на разходите за адвокатско възнаграждение, претендирани от ответната по молбата за отмяна страна, нито дължимостта им, а единствено възразява за прекомерност на уговореното и платено адвокатско възнаграждение. Възражението е основателно. Правната помощ, за оказването на която е платил адвокатско възнаграждение ответника, се е изчерпила в изготвяне на отговор срещу молбата за отмяна. Уговореното възнаграждение не съответства на фактическата и правна сложност на делото, по което съдът не бил сезиран с правен спор, който да разреши, а с искане за отмяна на влязло в сила решение. Затова са налице основанията за присъждане в по-нисък размер на уговореното и платено от ответника по молбата адвокатско възнаграждение по смисъла на чл. 78 ал. 5 ГПК. Неоснователно неговият представител претендира, че не може да се намалява възнаграждение под минималния размер, предвиден в НМРАВ. Съдебната практика, на която се позовава, за да обоснове довода си, е формирана преди приемането на решение на СЕС от 25.01.2024 г. по дело C-438/22. Това решение установява, че национална правна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конкуренцията. Постановено е също, че националният съд е длъжен да откаже да приложи тази национална правна уредба. Затова възнаграждението следва да бъде присъдено до размер, съответстващ на фактическата и правна сложност на делото и обема на извършената работа, който съдът определя на 1 300 евро. Неоснователно е искането за редуциране на възнаграждението до размер 500 лв – това не би съответствало на обема на квалифицирания труд, който се изисква за осъществяване на защита по подадената молба.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 5477/ 27.11.2024 г. по гр. д.№ 4519/ 2024 г. на Върховния касационен съд, ІV-то гражданско отделение, в частта за разноските, като ОСЪЖДА „Виктори Проджектс“ ЕООД, гр.Хасково, [улица] вх.Б, ет. 2, офис 2, ЕИК[ЕИК], да заплати на Н. Д., Федерална Република Германия, 96132 Ш., ул.“*“ № 3, вместо сумата 2 718,62 евро /две хиляди седемстотин и осемнадесет евро, шестдесет и два евроцента/ сумата 1 300 евро /хиляда и триста евро/ разноски за производството, като ОСТАВЯ БЕЗ УВАЖЕНИЕ искането в останалата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