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№1054/07.04.2026 по търг. д. №536/2026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1054/07.04.2026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двадесети март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536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При служебно извършена справка в ТР при АВ – по партидата на ответника по касационната жалба „Еос Матрикс“ ЕООД, се установи, че на 12.12.2025 г. (след приключване на съдебното дирене пред въззивния съд) това търговско дружество е преобразувано чрез промяна в правната му форма – от „Еос Матрикс“ ЕООД в „Еос Матрикс“ ЕАД. Съгласно правната норма на чл. 264з, ал. 1 ТЗ вписването на промяната на правната форма притежава конститутивно действие, като от този момент (в настоящия случай от 12.12.2025 г.) и на основание чл. 264з, ал. 2, изр. 1 ТЗ преобразуваното дружество („Еос Матрикс“ ЕООД) се прекратява и възниква новоучреденото („Еос Матрикс“ ЕАД), а на основание чл. 264з, ал. 2, изр. 2 ТЗ правата и задълженията на преобразуващото се дружество преминават изцяло върху новоучреденото дружество (при универсално правоприемство).</w:t>
        <w:tab/>
        <w:br/>
        <w:tab/>
        <w:t xml:space="preserve"/>
        <w:tab/>
        <w:br/>
        <w:tab/>
        <w:t xml:space="preserve">Следователно, новоучреденото „Еос Матрикс“ ЕАД - след преобразуването чрез промяна в правната форма, трябва да бъде конституирано по реда на чл. 227 ГПК като страна по настоящото съдебно производство – в процесуалното качество на прекратеното „Еос Матрикс“ ЕООД.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ОПРЕДЕЛИ:КОНСТИТУИРА на основание чл. 227 ГПК в процесуалното качество на прекратеното на 12.12.2025 г. „Еос Матрикс“ ЕООД като ответник по касационната жалба в настоящото съдебно производство „Еос Матрикс“ ЕАД.</w:t>
        <w:tab/>
        <w:br/>
        <w:tab/>
        <w:t xml:space="preserve"/>
        <w:tab/>
        <w:br/>
        <w:tab/>
        <w:t xml:space="preserve">ПРЕПИС от настоящото определение да се връчи на страните за сведение!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