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№1928/15.04.2025 по гр. д. №4429/2024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1928</w:t>
        <w:tab/>
        <w:br/>
        <w:tab/>
        <w:t xml:space="preserve"/>
        <w:tab/>
        <w:br/>
        <w:tab/>
        <w:t xml:space="preserve">гр. София, 15.04.2025 г.</w:t>
        <w:tab/>
        <w:br/>
        <w:tab/>
        <w:t xml:space="preserve"/>
        <w:tab/>
        <w:br/>
        <w:tab/>
        <w:t xml:space="preserve">ВЪРХОВЕН КАСАЦИОНЕН СЪД, 3-ТО ГРАЖДАНСКО ОТДЕЛЕНИЕ 5-ТИ СЪСТАВ, в закрито заседание на осми април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Председател:Илияна Папазова</w:t>
        <w:tab/>
        <w:br/>
        <w:tab/>
        <w:t xml:space="preserve"/>
        <w:tab/>
        <w:br/>
        <w:tab/>
        <w:t xml:space="preserve"> Членове:Майя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Джулиана Петкова Касационно гражданско дело № 20248002104429 по описа за 2024 година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Прокуратурата на Република България срещу решение № 27/08.01.2024г. по в. гр. д.№ 1688/2023г. по описа на Софийски апелативен съд, с което, като е потвърдено първоинстанционното решение, е уважен предявения от М. Д., роден на 01.03.1966г., турски гражданин, срещу Прокуратурата на Република България иск по чл. 2, ал. 1, т. 3 ЗОДОВ за обезщетение за неимуществени вреди от незаконно обвинение в престъпление до размер от 12 000 лева и е отхвърлен за разликата до пълния предявен размер от 120 000 лева.</w:t>
        <w:tab/>
        <w:br/>
        <w:tab/>
        <w:t xml:space="preserve"/>
        <w:tab/>
        <w:br/>
        <w:tab/>
        <w:t xml:space="preserve">Касаторът Прокуратура на Р България обжалва решението в осъдителната част с оплаквания за неправилност поради нарушения на материалния закон, на съдопроизводствените правила и необоснованост. В изложението по чл. 284, ал. 3, т. 1 от ГПК, като обуславящ изводите на въззивната инстанция, е поставен в хипотезата на чл. 280, ал. 1, т. 1 ГПК въпросът за критериите за определяне на справедлив размер на обезщетението за неимуществени вреди по чл. 2, ал. 1, т. 3 ЗОДОВ и за дължимата от съда тяхна съвкупна преценка. Изведен като разрешен в противоречие с т. 3 и т. 11 ТР № 3/22.04.2005г. на ОСГК на ВКС, и с т. 19 на ТР № 1/04.01.2001г. на ОСГК на ВКС е и въпросът за задължението на въззивния съд да мотивира решението си, доколкото се твърди, че в обжалваното решение липсват мотиви досежно причинно –следствената връзка между незаконното обвинение и заявените за репарация вреди.</w:t>
        <w:tab/>
        <w:br/>
        <w:tab/>
        <w:t xml:space="preserve"/>
        <w:tab/>
        <w:br/>
        <w:tab/>
        <w:t xml:space="preserve">Насрещната страна по жалбата – ищецът М. Д., чрез адв. М. И., възразява срещу наличието на основания за допускане на касационен контрол и оспорва оплакванията по касационната жалба.</w:t>
        <w:tab/>
        <w:br/>
        <w:tab/>
        <w:t xml:space="preserve"/>
        <w:tab/>
        <w:br/>
        <w:tab/>
        <w:t xml:space="preserve"> Съдът намира за допустима касационната жалба, а искането за допускане на касационно обжалване за неоснователно по следните съображения:</w:t>
        <w:tab/>
        <w:br/>
        <w:tab/>
        <w:t xml:space="preserve"/>
        <w:tab/>
        <w:br/>
        <w:tab/>
        <w:t xml:space="preserve">За да уважи предявения иск по чл. 2, ал. 1, т. 3 от ЗОДОВ за неимуществени вреди до размер от 12000 лева, въззивният съд е взел предвид следните конкретно установени по делото обстоятелства: 1/ от една страна, свързаните с наказателното преследване – обвинението срещу ищеца за престъпление по чл. 253, ал. 1 НК / пране на пари/, което е тежко; наказателното производство е приключило в досъдебната му фаза за период от седем месеца; за целия период на наказателното преследване ищецът е търпял най – тежката мярка за неотклонение – „задържане под стража“; при задържането на ищеца му е извършен личен обиск, а в хода на разследването е бил разпитван и е участвал в производствата по мярката за неотклонение пред съответните съдилища /ОС - Видин и САС/ и 2/ от друга страна, касаещите начина, по който наказателното производство е засегнало личната сфера на ищеца, като тук са съобразени: характера на търпените неимуществени вреди - обичайните такива (притеснение, стрес, неудобство, несигурност), възрастта на ищеца – 55 години, чистото съдебно минало и липсата на персонална индивидуализация при медийното отразяване на случая.</w:t>
        <w:tab/>
        <w:br/>
        <w:tab/>
        <w:t xml:space="preserve"/>
        <w:tab/>
        <w:br/>
        <w:tab/>
        <w:t xml:space="preserve">Съпоставката на очертаните по - горе две групи обстоятелства е предпоставила извода на въззивния съд, че справедливият размер на претендираното обезщетение, който отговаря на обществено икономическите условия в страната и не би довел до неоснователно обогатяване на ищеца, е 12 000 лева.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даденото в т. 1 на Тълкувателно решение № 1 от 19.02.2010г. по тълк. дело № 1/2009г.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</w:t>
        <w:tab/>
        <w:br/>
        <w:tab/>
        <w:t xml:space="preserve"/>
        <w:tab/>
        <w:br/>
        <w:tab/>
        <w:t xml:space="preserve">Поставените от касатора въпроси са обуславящи, но с обжалваното решение не са разрешени в отклонение от практиката на ВКС.</w:t>
        <w:tab/>
        <w:br/>
        <w:tab/>
        <w:t xml:space="preserve"/>
        <w:tab/>
        <w:br/>
        <w:tab/>
        <w:t xml:space="preserve">Съгласно задължителната практика на ВКС - ППВС № 4/23.12.1968 г. и ТР № 3/22.04.2005 г. на ОСГК на ВКС, както и основаната на нея константна практика на ВКС, формирана по реда на чл. 290 от ГПК, понятието справедливост по смисъла на чл. 52 от ЗЗД не е абстрактно, а е свързано със задължителна и включваща оценъчен извод преценка от съда на редица конкретни, обективно съществуващи при всеки отделен случай обстоятелства. При исковете по чл. 2, ал. 1, т. 3 от ЗОДОВ такива са: тежестта на повдигнатото обвинение; продължителността и начина на развитие на наказателното производство; вида и продължителността на взетата мярка за неотклонение, както и други ограничения на правата и свободите на ищеца в рамките на наказателното производство; съдебното минало на ищеца; дали за времето на процесното наказателно преследване са били водени и други наказателни производства срещу него, а ако те са били незаконни – дали ищецът вече е обезщетен и в каква степен; както и всички конкретни обстоятелства за начина, по който процесното наказателно преследване се е отразило на ищеца и живота му. Обезщетението за неимуществени вреди от деликтите по чл. 2, ал. 1, т. 3 от ЗОДОВ се определя глобално, трябва да съответства на необходимостта за преодоляването на вредите в тяхната цялост и да е достатъчно по размер за репарирането им. Размерът му, освен с особеностите на конкретния случай, следва да е съобразен с общоприетия критерий за справедливост и обществено-икономическите условия и стандарта на живот в страната към периода на увреждането. </w:t>
        <w:tab/>
        <w:br/>
        <w:tab/>
        <w:t xml:space="preserve"/>
        <w:tab/>
        <w:br/>
        <w:tab/>
        <w:t xml:space="preserve">Всички вреди, които са пряка и непосредствена последица от деликта, включително от деликтите по чл. 2, ал. 1, т. 3 от ЗОДОВ, подлежат на обезщетяване. Обичайните, типични неимуществени вреди от незаконно обвинение са тези, които нормално, предвидимо от правилата на житейската логика и психологията едно обвинено в извършването на престъпление лице търпи, като: стрес и притеснения от повдигнатото обвинение и за развитието на наказателното производство; страх от несправедливо осъждане и налагане на наказание по НК; негативни изживявания и чувство за онеправданост; накърняване на чувството за собствено достойнство, за справедливост и на самооценката на лицето, както и на доверието му в държавността; смущения в социалното общуване; дестабилизиране на здравословното състояние без болестни прояви. Причинната връзка на тези вреди с незаконното наказателно преследване е очевидна и тя не подлежи на формално доказване, а пострадалият не следва да доказва отделните си негативни преживявания в рамките на обичайните вреди. При условията на пълно главно доказване следва да се установят вредите, извън обичайните, т. е. специфичните такива като: конкретно увреждане на здравето; нетипични значими смущения в личната сфера на обвинения или в обичайната му битова, обществена и професионална среда и др., както и причинната връзка между специфичните вреди и незаконното наказателно преследване.</w:t>
        <w:tab/>
        <w:br/>
        <w:tab/>
        <w:t xml:space="preserve"/>
        <w:tab/>
        <w:br/>
        <w:tab/>
        <w:t xml:space="preserve">Въззивният съд се е съобразил изцяло с цитираните разрешения на съдебната практика, като е присъдил обезщетение само за обичайните неимуществени вреди, а определяйки глобалния размер на обезщетението е съобразил и оценил всички конкретно установени и релевантни обстоятелства, които са критерии за справедливост. Несъгласието на касатора с конкретния размер на обезщетението, вкл. относителната тежест на всеки един от критериите, е довод за неправилност на обжалваното решение, относим към касационните основания по чл. 281, т. 3 ГПК, които не са предмет на разглеждане във фазата по чл. 288 ГПК. </w:t>
        <w:tab/>
        <w:br/>
        <w:tab/>
        <w:t xml:space="preserve"/>
        <w:tab/>
        <w:br/>
        <w:tab/>
        <w:t xml:space="preserve">В обобщение, няма основание за допускане на въззивното решение до касационно обжалване и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27/08.01.2024г. по в. гр. д.№ 1688/2023г.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