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№1370/05.05.2025 по ч. търг. д. №352/2025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№1370</w:t>
        <w:tab/>
        <w:br/>
        <w:tab/>
        <w:t xml:space="preserve"/>
        <w:tab/>
        <w:br/>
        <w:tab/>
        <w:t xml:space="preserve">гр. София, 05.05.2025,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девети април,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КРАСИМИР МАШЕВ </w:t>
        <w:tab/>
        <w:br/>
        <w:tab/>
        <w:t xml:space="preserve"/>
        <w:tab/>
        <w:br/>
        <w:tab/>
        <w:t xml:space="preserve">като разгледа докладваното от съдия Марков т. д.№352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„Велпа“ ООД срещу определение №698 от 14.11.2024 г. по т. д.№539/2024 г. на АС Варна. С обжалваното определение е потвърдено определение №74 от 18.06.2024 г. по т. д.№8/2023 г. на ОС Шумен, с което е оставено без уважение искането на „Велпа“ ЕООД за допълване на решение №21 от 10.04.2024 г. по т. д.№8/2023 г. на ОС Шумен, в частта му относно произнасянето по разноските. </w:t>
        <w:tab/>
        <w:br/>
        <w:tab/>
        <w:t xml:space="preserve"/>
        <w:tab/>
        <w:br/>
        <w:tab/>
        <w:t xml:space="preserve">В частната касационна жалба са наведени доводи за неправилност на определението на въззивния съд, като се поддържа, че за да се осъществи компенсация на присъдените по делото в полза на страните разноски е необходимо изрично волеизявление на една от тях, а при липса на такова изявление не може да бъде осъществено служебно прихващане. В изложение по чл. 284, ал. 3, т. 1 от ГПК общото основание за допускане на касационно обжалване е обосновано с произнасяне на въззивния съд по следните въпроси, за които се поддържа, че са решени в противоречие с практиката на ВКС и са от значение за точното прилагане на закона и за развитие на правото: 1. Допустимо ли е съдът да извърши служебно прихващане на присъдени в полза на двете страни съдебни разноски, без да е направено искане на страните. 2. Налице ли е нарушение на диспозитивното начало в гражданския процес, когато съдът извърши служебно прихващане на присъдени в полза на двете страни съдебни разноски, без да е направено искане на страните. 3. Представлява ли съществено нарушение на съдопроизводствените правила, когато съдът извърши служебно прихващане на присъдени в полза на двете страни съдебни разноски, без да е направено искане на страните. Поддържа се, че определението е и очевидно неправилно.</w:t>
        <w:tab/>
        <w:br/>
        <w:tab/>
        <w:t xml:space="preserve"/>
        <w:tab/>
        <w:br/>
        <w:tab/>
        <w:t xml:space="preserve">Ответната страна Е. И. А. заявява становище за липса на основание за допускане на касационно обжалване. Излага съображения, че дори и да се допусне касационно обжалване, жалбата се явява неоснователна, тъй като първата инстанция е изчислила правилно направените от всяка от страните разноски и ако същите бъдат присъдени отново, в полза на всяка от страните, то прави изявление за прихващане, което води до резултата, постановен от първата инстанция, респективно въззивното определение се явява правилно.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Жалбата е подадена от надлежна страна, в преклузивния срок по чл. 275, ал. 1 от ГПК, срещу подлежащ на обжалване съдебен акт, поради което е допустима.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приел, че при произнасяне по отговорността за разноски първоинстанционният съд е съобразил всички извършени от ищеца „Велпа“ ООД разноски, като ясно е посочил, че извършва служебно прихващане на дължимите между страните разноски в производството, след което определя съответния размер, който следва да заплати ответната страна. Счел е, че първата инстанция е извършила правилни математически изчисления на понесените от страните разноски и в този смисъл правилно първостепенният съд е извършил прихващане на направените от страните разноски, с оглед изхода от материалноправния спор, а присъждането на разноски след извършване на компенсация е с оглед улесняване изпълнението на съдебния акт и за яснота за страните. </w:t>
        <w:tab/>
        <w:br/>
        <w:tab/>
        <w:t xml:space="preserve"/>
        <w:tab/>
        <w:br/>
        <w:tab/>
        <w:t xml:space="preserve"> Настоящият състав намира, че независимо, че поставените от частния касатор въпроси са обусловили правната воля на въззивния съд, то с оглед направеното от ответната страна изявление за прихващане (което следва да бъде съобразено), касационно обжалване не следва да бъде допуснато, тъй като какъвто и отговор да бъде даден на формулираните въпроси, това не би повлияло на крайния изход на спора. </w:t>
        <w:tab/>
        <w:br/>
        <w:tab/>
        <w:t xml:space="preserve"/>
        <w:tab/>
        <w:br/>
        <w:tab/>
        <w:t xml:space="preserve">С оглед изложеното не е налице общата предпоставка по чл. 280, ал. 1 ГПК и предвид липсата на основанието по чл. 280, ал. 2 ГПК, касационно обжалване не може да бъде допуснато, поради което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№698 от 14.11.2024 г. по т. д.№539/2024 г. на АС Варна.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