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№1898/14.04.2026 по гр. д. №4727/2025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1898</w:t>
        <w:tab/>
        <w:br/>
        <w:tab/>
        <w:t xml:space="preserve"/>
        <w:tab/>
        <w:br/>
        <w:tab/>
        <w:t xml:space="preserve">София, 14.04.2026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четвърти март,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като изслуша докладваното от съдия Първанов гр. д. № 4727/2025 г. на ІІІ г. о.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Образувано е по касационна жалба на Комисията за отнемане на незаконно придобитото имущество, [населено място], подадена чрез процесуалния представител М. И., срещу въззивно решение № 96 от 23.05.2025 г. по в. гр. д. №284/2024 г. на Апелативен съд - Бургас, с което е потвърдено решение №432 от 10.05.2024 г. по гр. д. №1763/2021 г. на Окръжен съд - Бургас. С първоинстанционното решение са отхвърлени предявените от Комисията срещу С. Г. З. и Д. Н. В. искове за отнемане в полза на държавата на незаконно придобито имущество, като неоснователни.</w:t>
        <w:tab/>
        <w:br/>
        <w:tab/>
        <w:t xml:space="preserve"/>
        <w:tab/>
        <w:br/>
        <w:tab/>
        <w:t xml:space="preserve"> Част от въпросите в изложението за допускане на касационно обжалване са предмет на разглеждане на образуваното тълкувателно дело № 1/2026 г. по описа на ОСГК на ВКС, по което съгласно разпореждане на Председателя на ВКС от 23.03.2026 г. за тълкуване и разрешаване (след уточняване от ОСГК) са поставени следните въпроси: „Материалноправна предпоставка за правото на държавата на отнемане на незаконно придобито имущество, ли е стойностното превишение над размера, посочен в § 1, т. 3 ДР на ЗОНПИ, на наличното имущество на проверяваното лице в края над наличното имущество в началото на десетгодишния период по чл. 112, ал. 3 ЗОНПИ? При определяне на значително несъответствие по смисъла на § 1, т. 3 ДР на ЗОНПИ, когато нетният доход е отрицателна величина, тази величина добавя ли се към стойността на имуществото? Съставлява ли материалноправна предпоставка за правото на държавата на отнемане на незаконно придобито имущество и наличието на установена връзка между деянието по чл. 108 или по чл. 109 ЗОНПИ и подлежащото на отнемане имущество?“. </w:t>
        <w:tab/>
        <w:br/>
        <w:tab/>
        <w:t xml:space="preserve"/>
        <w:tab/>
        <w:br/>
        <w:tab/>
        <w:t xml:space="preserve"> Предвид изложеното, настоящото производство следва да се спре до приемане на тълкувателно решение по посоченото тълкувателно дело.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СПИРА производството по гр. д. № 4727/2025 г. по описа на Върховния касационен съд, Трето гражданско отделение, до приемането на тълкувателно решение по тълкувателно дело № 1/2026 г. по описа на ОСГК на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