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№1097/14.04.2026 по търг. д. №2516/2025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1097</w:t>
        <w:tab/>
        <w:br/>
        <w:tab/>
        <w:t xml:space="preserve"/>
        <w:tab/>
        <w:br/>
        <w:tab/>
        <w:t xml:space="preserve">гр. София, 14.04.2026г.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девети февруари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2516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ЗАД „Армеец“ АД срещу въззивно решение на Софийски градски съд.</w:t>
        <w:tab/>
        <w:br/>
        <w:tab/>
        <w:t xml:space="preserve"/>
        <w:tab/>
        <w:br/>
        <w:tab/>
        <w:t xml:space="preserve">Ищецът Р. Д. оспорва жалбата.</w:t>
        <w:tab/>
        <w:br/>
        <w:tab/>
        <w:t xml:space="preserve"/>
        <w:tab/>
        <w:br/>
        <w:tab/>
        <w:t xml:space="preserve">По реда на чл. 288 ГПК съдът прие следното.</w:t>
        <w:tab/>
        <w:br/>
        <w:tab/>
        <w:t xml:space="preserve"/>
        <w:tab/>
        <w:br/>
        <w:tab/>
        <w:t xml:space="preserve">По жалба на ищеца въззивният съд е отменил първоинстанционното решение и е уважил предявените искове по чл. 405, ал. 1 КЗ и чл. 86, ал. 1 ЗЗД за заплащане на основание сключения между страните договор за застраховка „Каско“ на застрахователно обезщетение и лихви за забава.</w:t>
        <w:tab/>
        <w:br/>
        <w:tab/>
        <w:t xml:space="preserve"/>
        <w:tab/>
        <w:br/>
        <w:tab/>
        <w:t xml:space="preserve">За да постанови решението си, въззивният съд е подложил на тълкуване спорната клауза по т. 11.6 от Общите условия, съгласно която застрахователят не изплаща обезщетение, когато събитието е настъпило по време, през което застрахованото МПС се намира в автосервиз или друго трето лице за извършване на ремонт, профилактика, измиване и др. под., освен за щети в резултат на природни бедствия и за събития по клауза „Кражба на МПС“. Приел е, че уговореното изключение се отнася за събитията, настъпили по време на извършване на изброените в клаузата дейности, но не и за събитията, предшестващи или следващи тези дейности, вкл. когато превозното средство е паркирано. Извода си е мотивирал с подробно развитите съображения, че противното тълкуване води до необосновано ограничаване отговорността на застрахователя в противоречие с чл. 408, ал. 1, т. 3 КЗ, както и с оглед интереса на застрахователя, доколкото създава невъзможност за последния или съществено да го затруднява при определяне на поетия от него риск или при узнаването и/или установяването на обстоятелствата, при които може да възникне застрахователно събитие, както и при определянето на размера на настъпилите вследствие на същото вреди. Посочил е, че такова тълкуване на клаузата по същността си е разширително, което е недопустимо спрямо клаузи, изключващи или ограничаващи отговорността на застраховател, по аргумент от чл. 345, ал. 5, т. 1 КЗ. Изложил е и съображенията, че тълкуване в този смисъл създава значително неравновесие между правата и задълженията на застрахователя и застрахования и не отговаря на изискването за добросъвестност, създавайки в ущърб на потребителя значителна неравнопоставеност, доколкото за последния е от основно значение да бъде информиран преди сключване на договора за условията и последиците от изключването на застрахователното покритие, както и че ако с включването на подобна клауза в общите условия застрахователят е целял да уговори в своя полза изрично изключение от покритието, той е следвало ясно и точно да посочи в общите условия конкретните хипотези или критерии, при които да може разумно да се прецени дали неизпълнението на задълженията по застрахователния договор е значително с оглед на интереса на застрахователя, т. е. създава невъзможност за последния или съществено да го затруднява при определяне на поетия от него риск или при узнаването и/или установяването на обстоятелствата, при които е възникнало застрахователното събитие, както и при определянето на размера на настъпилите вследствие на същото вреди.</w:t>
        <w:tab/>
        <w:br/>
        <w:tab/>
        <w:t xml:space="preserve"/>
        <w:tab/>
        <w:br/>
        <w:tab/>
        <w:t xml:space="preserve">Допускане на касационно обжалване се иска на основание чл. 280, ал. 1 т. 1 ГПК във връзка с въпросите:</w:t>
        <w:tab/>
        <w:br/>
        <w:tab/>
        <w:t xml:space="preserve"/>
        <w:tab/>
        <w:br/>
        <w:tab/>
        <w:t xml:space="preserve">- относно необходимостта от прилагане на чл. 20 ЗЗД във връзка с установяване съдържанието на конкретна договорна клауза в съответствие с действителната воля на страните, и</w:t>
        <w:tab/>
        <w:br/>
        <w:tab/>
        <w:t xml:space="preserve"/>
        <w:tab/>
        <w:br/>
        <w:tab/>
        <w:t xml:space="preserve">- относно задължението на въззивния съд, съблюдавайки изискванията на чл. 235, ал. 2 и чл. 236, ал. 2 ГПК, в рамките на предмета на въззивната проверка да обсъди събраните по делото доказателства, доводите и възраженията на страните и да изложи в решението си ясни, пълни и безпротиворечиви мотиви.</w:t>
        <w:tab/>
        <w:br/>
        <w:tab/>
        <w:t xml:space="preserve"/>
        <w:tab/>
        <w:br/>
        <w:tab/>
        <w:t xml:space="preserve">По първия въпрос е формирана последователна практика на ВКС, изразена в множество решения, постановени по реда на чл. 290 ГПК, според която на тълкуване според критериите на чл. 20 ЗЗД подлежат неясните, непълни и неточни уговорки в договора, които поради недостатъците си пораждат съмнение и спор между страните относно действителното съдържание на постигнатото при сключване на договора общо съгласие и целените с договора правни последици; тълкуването се извършва съобразно критериите на чл. 20 ЗЗД, за да се изясни действителната, а не предполагаемата воля на договарящите; прилагането на критериите на чл. 20 ЗЗД предполага отделните договорни уговорки да се тълкуват във връзка една с друга и в смисъла, който произтича от договора, като се изхожда от целта на договора, обичаите в практиката и добросъвестността, но без да се подменя формираната при сключване на договора и обективирана в съдържанието му воля на договарящите.</w:t>
        <w:tab/>
        <w:br/>
        <w:tab/>
        <w:t xml:space="preserve"/>
        <w:tab/>
        <w:br/>
        <w:tab/>
        <w:t xml:space="preserve">В разглеждания случай не се установява отклонение на въззивния съд от така установената практика, доколкото нито в изложението на основанията за допускане на касационно обжалване, нито в касационната жалба са изложени конкретни аргументи за допуснато от съда несъобразяване на някой от критериите по чл. 20 ЗЗД, а единствено се повтаря поддържаната от жалбоподателя теза за действителния според него смисъл на уговорката с оплакване за неправилност на възприетото от съда тълкуване, чиято проверка обаче, като въпрос по съществото на спора, е извън предмета на настоящата фаза на касационното производство.</w:t>
        <w:tab/>
        <w:br/>
        <w:tab/>
        <w:t xml:space="preserve"/>
        <w:tab/>
        <w:br/>
        <w:tab/>
        <w:t xml:space="preserve">По втория въпрос също не се установява отклонение от практиката на ВКС по приложението на чл. 235, ал. 2 и чл. 236, ал. 2 ГПК. Противно на поддържаното от жалбоподателя, изложените от въззивния съд мотиви са напълно ясни. Съдът не е извършил същинска проверка за неравноправност по смисъла на чл. 143 ЗЗП на спорната клауза, а е посочил, че такава неравноправност би била налице при възприемане на застъпваното от жалбоподателя тълкуване, т. е. съжденията в насока спазване на изискването за добросъвестност и наличие на значително неравновесие между правата и задълженията на страните са изложени за обосноваване на тълкувателния извод относно действителното съдържание на уговорката, а не в рамките на проверка по чл. 143 ЗЗП.</w:t>
        <w:tab/>
        <w:br/>
        <w:tab/>
        <w:t xml:space="preserve"/>
        <w:tab/>
        <w:br/>
        <w:tab/>
        <w:t xml:space="preserve">По горните съображения касационно обжалване не следва да се допуска. На основание чл. 78, ал. 1 ГПК и въз основа на направеното искане и представените писмени доказателства жалбоподателят следва да заплати на ищеца направените за касационното производство разноски в размер на 613,55 евро.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6711/06.11.2025 г. по гр. д. № 13404/2024 г. по описа на Софийски градски съд.</w:t>
        <w:tab/>
        <w:br/>
        <w:tab/>
        <w:t xml:space="preserve"/>
        <w:tab/>
        <w:br/>
        <w:tab/>
        <w:t xml:space="preserve">Осъжда ЗАД „Армеец“ АД, ЕИК[ЕИК], [населено място], [улица], да заплати на Р. Д., ЕГН [ЕГН], [населено място], [улица], на основание чл. 78, ал. 1 ГПК разноски в размер на 613,55 евро.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