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№1152/20.04.2026 по търг. д. №530/2026 на ВКС, ТК, I т.о., докладвано от съдия Васил Христакиев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1152</w:t>
        <w:tab/>
        <w:br/>
        <w:tab/>
        <w:t xml:space="preserve"/>
        <w:tab/>
        <w:br/>
        <w:tab/>
        <w:t xml:space="preserve">гр. София, 20.04.2026г.</w:t>
        <w:tab/>
        <w:br/>
        <w:tab/>
        <w:t xml:space="preserve"/>
        <w:tab/>
        <w:br/>
        <w:tab/>
        <w:t xml:space="preserve">ВЪРХОВЕН КАСАЦИОНЕН СЪД, 1-ВО ТЪРГОВСКО ОТДЕЛЕНИЕ 3 СЪСТАВ, в закрито заседание на четиринадесети април през две хиляди двадесет и шеста година в следния състав</w:t>
        <w:tab/>
        <w:br/>
        <w:tab/>
        <w:t xml:space="preserve"/>
        <w:tab/>
        <w:br/>
        <w:tab/>
        <w:t xml:space="preserve"> Председател: Боян Балевски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Васил Христакиев касационно търговско дело № 530 по описа за 2026 година,</w:t>
        <w:tab/>
        <w:br/>
        <w:tab/>
        <w:t xml:space="preserve"/>
        <w:tab/>
        <w:br/>
        <w:tab/>
        <w:t xml:space="preserve">взе предвид следното.</w:t>
        <w:tab/>
        <w:br/>
        <w:tab/>
        <w:t xml:space="preserve"/>
        <w:tab/>
        <w:br/>
        <w:tab/>
        <w:t xml:space="preserve">Производството е по чл. 280 и сл. ГПК, образувано по касационна жалба на ответника Община Златица срещу въззивно решение на Софийски окръжен съд.</w:t>
        <w:tab/>
        <w:br/>
        <w:tab/>
        <w:t xml:space="preserve"/>
        <w:tab/>
        <w:br/>
        <w:tab/>
        <w:t xml:space="preserve">Ищецът „Марвели 2“ ЕООД оспорва жалбата.</w:t>
        <w:tab/>
        <w:br/>
        <w:tab/>
        <w:t xml:space="preserve"/>
        <w:tab/>
        <w:br/>
        <w:tab/>
        <w:t xml:space="preserve">При извършената проверка съдът намери жалбата за недопустима. Предявени са искове по чл. 266, ал. 1 и чл. 86, ал. 1 ЗЗД за заплащане на възнаграждение в размер на 12 000 лв., вкл. ДДС, заедно със законната лихва, и 577,08 лв. обезщетение за забава, основани на сключен между страните договор за проектиране, трасиране и направа на извозни горски пътища. С оглед търговското качество на ищеца процесният договор представлява търговска сделка съгласно чл. 286, ал. 1 вр. чл. 287 ТЗ. Последното обуславя и търговския характер на делото по смисъла на чл. 280, ал. 3, т. 1 ГПК, поради което приложение намира предвиденият в тази разпоредба праг за касационна обжалваемост според цената на иска в размер на 10 225,84 евро (20 000 лв.). Всеки от предявените искове, както и общият им сбор, е с цена под установения праг, поради което въззивното решение не подлежи на касационно обжалване.</w:t>
        <w:tab/>
        <w:br/>
        <w:tab/>
        <w:t xml:space="preserve"/>
        <w:tab/>
        <w:br/>
        <w:tab/>
        <w:t xml:space="preserve">Независимо от изхода на делото и направеното искане на ищеца разноски по чл. 78, ал. 1 ГПК за касационното производство не се дължат поради липсата на доказателства такива да са направени.</w:t>
        <w:tab/>
        <w:br/>
        <w:tab/>
        <w:t xml:space="preserve"/>
        <w:tab/>
        <w:br/>
        <w:tab/>
        <w:t xml:space="preserve">С тези мотиви съдътОПРЕДЕЛИ:Оставя без разглеждане подадената от Община Златица касационна жалба срещу решение № 543/11.11.2025 г. по гр. д. № 372/2025 г. по описа на Софийски окръжен съд и прекратява производството по т. д. № 530/2026 г. по описа на ВКС, I т. о.</w:t>
        <w:tab/>
        <w:br/>
        <w:tab/>
        <w:t xml:space="preserve"/>
        <w:tab/>
        <w:br/>
        <w:tab/>
        <w:t xml:space="preserve">Определението подлежи на обжалване пред състав на ВКС в едноседмичен срок от връчването му на страните.</w:t>
        <w:tab/>
        <w:br/>
        <w:tab/>
        <w:t xml:space="preserve"/>
        <w:tab/>
        <w:br/>
        <w:tab/>
        <w:t xml:space="preserve"> Председател: .............................................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> 1 ............................................</w:t>
        <w:tab/>
        <w:br/>
        <w:tab/>
        <w:t xml:space="preserve"/>
        <w:tab/>
        <w:br/>
        <w:tab/>
        <w:t xml:space="preserve"> 2. ...........................................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