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№50207/09.10.2023 по гр. д. №1819/2022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50207</w:t>
        <w:tab/>
        <w:br/>
        <w:tab/>
        <w:t xml:space="preserve"/>
        <w:tab/>
        <w:br/>
        <w:tab/>
        <w:t xml:space="preserve">София, 09.10.2023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пети октомври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гражданско дело № 1819 по описа на Върховния касационен съд за 2022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Комисия за противодействие на корупцията и за отнемане на незаконно придобито имущество, представлявана от инспектор П., срещу въззивно решение № 23 от 21.02.2022 г. по в. гр. д. № 341/2020 г. на Апелативен съд - Велико Търново, с което е потвърдено решение от 01.10.2020 г. по гр. д. № 328/2019 г. на Окръжен съд - Плевен за отхвърляне на предявения от Комисията за противодействие на корупцията и за отнемане на незаконно придобитото имущество против М. Б. Ц., К. Х. Ц. и М. М. С. иск с правно основание чл. 153 от Закона за противодействие на корупцията и за отнемане на незаконно придобитото имущество, за отнемане в полза на държавата на имущество на обща стойност 46 941,77 лева, а именно: </w:t>
        <w:tab/>
        <w:br/>
        <w:tab/>
        <w:t xml:space="preserve"/>
        <w:tab/>
        <w:br/>
        <w:tab/>
        <w:t xml:space="preserve">на основание чл. 151, във връзка с чл. 142, ал. 2, точка 1, във връзка с чл. 141 от Закона за противодействие на корупцията и за отнемане на незаконно придобитото имущество от М. Б. Ц.: </w:t>
        <w:tab/>
        <w:br/>
        <w:tab/>
        <w:t xml:space="preserve"/>
        <w:tab/>
        <w:br/>
        <w:tab/>
        <w:t xml:space="preserve">сумата 5000 лева, получена от продажбата на дружествените дялове от капитала на „Агринекс“ ЕООД;</w:t>
        <w:tab/>
        <w:br/>
        <w:tab/>
        <w:t xml:space="preserve"/>
        <w:tab/>
        <w:br/>
        <w:tab/>
        <w:t xml:space="preserve">сумата 4 лева, получена от продажбата на дружествените дялове от капитала на „Панорама Мийт“ ЕООД; </w:t>
        <w:tab/>
        <w:br/>
        <w:tab/>
        <w:t xml:space="preserve"/>
        <w:tab/>
        <w:br/>
        <w:tab/>
        <w:t xml:space="preserve">сума в общ размер на 1582.42 евро с левова равностойност 3094,96 лева – погасителни вноски по кредит, направени по спестовен влог в евро, открит в „Банка Пиреос България“ АД, с титуляр К. Х. Ц.;</w:t>
        <w:tab/>
        <w:br/>
        <w:tab/>
        <w:t xml:space="preserve"/>
        <w:tab/>
        <w:br/>
        <w:tab/>
        <w:t xml:space="preserve">сумата 100 британски лири с левова равностойност 222,89 лева –паричната равностойност на дружествените дялове от капитала на „Булгрийн лимитид“ („Bulgreen LTD“), учредено на 11.02.2010 г., прекратено на 29.03.2016 г. </w:t>
        <w:tab/>
        <w:br/>
        <w:tab/>
        <w:t xml:space="preserve"/>
        <w:tab/>
        <w:br/>
        <w:tab/>
        <w:t xml:space="preserve">на основание чл. 151, във връзка с чл. 142, ал. 2, точка 3, във връзка с чл. 141 от Закона за противодействие на корупцията и за отнемане на незаконно придобитото имущество от М. Б. Ц.:</w:t>
        <w:tab/>
        <w:br/>
        <w:tab/>
        <w:t xml:space="preserve"/>
        <w:tab/>
        <w:br/>
        <w:tab/>
        <w:t xml:space="preserve">сума в общ размер на 955,11 лева – вноски по разплащателна сметка в лева, открита в „Банка ДСК“ ЕАД, с титуляр Б. М. Ц.; </w:t>
        <w:tab/>
        <w:br/>
        <w:tab/>
        <w:t xml:space="preserve"/>
        <w:tab/>
        <w:br/>
        <w:tab/>
        <w:t xml:space="preserve">сума в общ размер на 405,98 лева – вноски от трети лица по разплащателна сметка в лева, открита в „Банка ДСК“ ЕАД, с титуляр Б. М. Ц..</w:t>
        <w:tab/>
        <w:br/>
        <w:tab/>
        <w:t xml:space="preserve"/>
        <w:tab/>
        <w:br/>
        <w:tab/>
        <w:t xml:space="preserve">на основание чл. 151, във връзка с чл. 142, ал. 2, точка 4, във връзка с чл. 141 от Закона за противодействие на корупцията и за отнемане на незаконно придобитото имущество от К. Х. Ц.:</w:t>
        <w:tab/>
        <w:br/>
        <w:tab/>
        <w:t xml:space="preserve"/>
        <w:tab/>
        <w:br/>
        <w:tab/>
        <w:t xml:space="preserve">сума в общ размер на 1890 лева – вноски по разплащателна сметка в лева, открита в „Банка ДСК“ ЕАД, с титуляр К. Х. Ц.;</w:t>
        <w:tab/>
        <w:br/>
        <w:tab/>
        <w:t xml:space="preserve"/>
        <w:tab/>
        <w:br/>
        <w:tab/>
        <w:t xml:space="preserve">сума в общ размер на 2855,06 лева – вноски от трети лица по разплащателна сметка в лева, открита в „Банка ДСК“ ЕАД, с титуляр К. Х. Ц.;</w:t>
        <w:tab/>
        <w:br/>
        <w:tab/>
        <w:t xml:space="preserve"/>
        <w:tab/>
        <w:br/>
        <w:tab/>
        <w:t xml:space="preserve">сума в общ размер на 714,65 евро с левова равностойност 1397,73 лева – погасителни вноски по кредит, направени от титуляря, по спестовен влог в евро, открит в „Банка Пиреос България“ АД с титуляр К. Х. Ц.;</w:t>
        <w:tab/>
        <w:br/>
        <w:tab/>
        <w:t xml:space="preserve"/>
        <w:tab/>
        <w:br/>
        <w:tab/>
        <w:t xml:space="preserve">сума в общ размер на 6436,08 евро с левова равностойност 12 587,88 лева – погасителни вноски по кредит, направени от трето лице, по спестовен влог в евро, открит в „Банка Пиреос България“ АД, с титуляр К. Х. Ц.;</w:t>
        <w:tab/>
        <w:br/>
        <w:tab/>
        <w:t xml:space="preserve"/>
        <w:tab/>
        <w:br/>
        <w:tab/>
        <w:t xml:space="preserve">сума в общ размер на 1100 лева – вноски от трети лица по разплащателна сметка в лева, открита в „Прокредит Банк“ ЕАД, с титуляр К. Х. Ц.;</w:t>
        <w:tab/>
        <w:br/>
        <w:tab/>
        <w:t xml:space="preserve"/>
        <w:tab/>
        <w:br/>
        <w:tab/>
        <w:t xml:space="preserve">сума в общ размер на 10 000 лева – допълнителни вноски от едноличния собственик в капитала на „МБ кепитал“ ЕООД, с едноличен собственик на капитала и управител К. Х. Ц.. </w:t>
        <w:tab/>
        <w:br/>
        <w:tab/>
        <w:t xml:space="preserve"/>
        <w:tab/>
        <w:br/>
        <w:tab/>
        <w:t xml:space="preserve">на основание чл. 151, във връзка с чл. 144, във връзка с чл. 142, ал. 2 т. 2, във връзка с чл. 141 от Закона за противодействие на корупцията и за отнемане на незаконно придобитото имущество от М. М. С.: сумата 7388,30 лева – 74% от паричната равностойност, определена по пазарна цена към 13.10.2016 г., на лек автомобил „Фолксваген Поло 1,6“, подробно описан.</w:t>
        <w:tab/>
        <w:br/>
        <w:tab/>
        <w:t xml:space="preserve"/>
        <w:tab/>
        <w:br/>
        <w:tab/>
        <w:t xml:space="preserve">Касаторът счита, че са налице основания по чл. 280, ал. 1, т. 1 и 3 ГПК за допускане на касационно обжалване. </w:t>
        <w:tab/>
        <w:br/>
        <w:tab/>
        <w:t xml:space="preserve"/>
        <w:tab/>
        <w:br/>
        <w:tab/>
        <w:t xml:space="preserve">Ответниците по жалбата М. Б. Ц., К. Х. Ц. и М. М. С., в общ отговор, подаден чрез процесуалния им представител адв. А., оспорват наличието на основание за допускане на касационно обжалване. Претендират разноски.</w:t>
        <w:tab/>
        <w:br/>
        <w:tab/>
        <w:t xml:space="preserve"/>
        <w:tab/>
        <w:br/>
        <w:tab/>
        <w:t xml:space="preserve">С молба № 504058 от 04.10.2022 г. касаторът Комисия за противодействие на корупцията и за отнемане на незаконно придобито имущество представя решение № 976 от 03.10.2023 г. на КПКОНПИ за оттегляне на основание чл. 264, ал. 1 ГПК на подадената касационна жалба.</w:t>
        <w:tab/>
        <w:br/>
        <w:tab/>
        <w:t xml:space="preserve"/>
        <w:tab/>
        <w:br/>
        <w:tab/>
        <w:t xml:space="preserve">Страната, която е инициирала производството пред ВКС с подаването на касационна жалба може, с оглед диспозитивното начало в гражданския процес, да десезира съда. Това жалбоподателят е направил с писмената си молба по делото, с която ясно и недвусмислено заявява, че оттегля касационната си жалба и моли производството по делото, образувано по нея, да бъде прекратено. При това положение трябва да се приеме, че Върховният касационен съд е десезиран от разглеждането на касационната жалба и образуваното въз основа на нея производство пред ВКС трябва да бъде прекратено.</w:t>
        <w:tab/>
        <w:br/>
        <w:tab/>
        <w:t xml:space="preserve"/>
        <w:tab/>
        <w:br/>
        <w:tab/>
        <w:t xml:space="preserve">Съобразно изхода на спора на ответниците касационната жалба следва да се присъдят направените разноски за касационното производство за адвокатско възнаграждение в размер на 1450 лева.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ПРЕКРАТЯВА производството по гр. д. № 1819/2022 г. на Върховния касационен съд, ІІІ гр. о., образувано по касационна жалба на Комисия за противодействие на корупцията и за отнемане на незаконно придобито имущество, поради оттегляне на жалбата.</w:t>
        <w:tab/>
        <w:br/>
        <w:tab/>
        <w:t xml:space="preserve"/>
        <w:tab/>
        <w:br/>
        <w:tab/>
        <w:t xml:space="preserve">ОСЪЖДА Комисия за противодействие на корупцията и за отнемане на незаконно придобито имущество да заплати на М. Б. Ц. с ЕГН [ЕГН], К. Х. Ц. с ЕГН [ЕГН] и М. М. С. с ЕГН [ЕГН] сумата 1450 /хиляда четиристотин и петдесет/ лева – разноски по делото.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съобщението.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