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№2186/28.04.2026 по ч.гр.д. №1615/2026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съдебен състав като констатира, че докладчикът по обжалвания акт е съпруг на съдия Майя Русева, намира че за нея са налице предпоставките по чл. 22, ал. 1, т. 6 ГПК, поради което следва да бъде отстранена от решаване на спора.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2186</w:t>
        <w:tab/>
        <w:br/>
        <w:tab/>
        <w:t xml:space="preserve"/>
        <w:tab/>
        <w:br/>
        <w:tab/>
        <w:t xml:space="preserve"> София 28.04.2026г.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ПРЕДСЕДАТЕЛ:ИЛИЯНА ПАПАЗОВА</w:t>
        <w:tab/>
        <w:br/>
        <w:tab/>
        <w:t xml:space="preserve"/>
        <w:tab/>
        <w:br/>
        <w:tab/>
        <w:t xml:space="preserve"> ЧЛЕНОВЕ:МАЙЯ РУСЕВА 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1615 по описа за 2026г. и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е с правно основание чл. 274, ал. 2 ГПК. </w:t>
        <w:tab/>
        <w:br/>
        <w:tab/>
        <w:t xml:space="preserve"/>
        <w:tab/>
        <w:br/>
        <w:tab/>
        <w:t xml:space="preserve">Делото е образувано по частна жалба, подадена срещу определение № 929 от 25.02.2026г. по гр. д.№ 4079/2025г. на ІV г. о. , по което докладчик е съдия Павков.</w:t>
        <w:tab/>
        <w:br/>
        <w:tab/>
        <w:t xml:space="preserve"/>
        <w:tab/>
        <w:br/>
        <w:tab/>
        <w:t xml:space="preserve">Настоящият съдебен състав като констатира, че докладчикът по обжалвания акт е съпруг на съдия Майя Русева, намира че за нея са налице предпоставките по чл. 22, ал. 1, т. 6 ГПК, поради което следва да бъде отстранена от решаване на спора.</w:t>
        <w:tab/>
        <w:br/>
        <w:tab/>
        <w:t xml:space="preserve"/>
        <w:tab/>
        <w:br/>
        <w:tab/>
        <w:t xml:space="preserve">Мотивиран от изложеното,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ОТВЕЖДА от състава на ВКС, разглеждащ ч. гр. д. № 1615/2026г. по описа на ВКС, ІІІ гр. о. съдия Майя Русева.</w:t>
        <w:tab/>
        <w:br/>
        <w:tab/>
        <w:t xml:space="preserve"/>
        <w:tab/>
        <w:br/>
        <w:tab/>
        <w:t xml:space="preserve">ДЕЛОТО да се докладва за определяне на друг член на състава.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