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№2357/08.05.2026 по гр. д. №1193/2024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2357 </w:t>
        <w:tab/>
        <w:br/>
        <w:tab/>
        <w:t xml:space="preserve"/>
        <w:tab/>
        <w:br/>
        <w:tab/>
        <w:t xml:space="preserve"> София, 08.05.2026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тридесети април,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№1193/2024 г. </w:t>
        <w:tab/>
        <w:br/>
        <w:tab/>
        <w:t xml:space="preserve"/>
        <w:tab/>
        <w:br/>
        <w:tab/>
        <w:t xml:space="preserve"> С определение №1704 от 01.04.2026 г. по реда на чл. 288 ГПК е допуснато касационно обжалване на касационно обжалване на решение №302 от 13.12.2023 г. по в. гр. д. № 380/2023 г. на Шуменския окръжен съд в частта, с която дължимото обезщетение по чл. 200, ал. 3 КТ не е намалено на основание чл. 200, ал. 4 КТ със сумата 433.10 лв., превалутирани в евро – 221.44 евро и искът е уважен за тази сума. Със същото определение е указано на жалбоподателя ДП „НК Железопътна инфраструктура“, [населено място], в едноседмичен срок от съобщението да представи доказателства за внесена по сметка на ВКС държавна такса в размер на 12.78 евро, като в противен случай касационната жалба ще бъде върната.</w:t>
        <w:tab/>
        <w:br/>
        <w:tab/>
        <w:t xml:space="preserve"/>
        <w:tab/>
        <w:br/>
        <w:tab/>
        <w:t xml:space="preserve"> Съобщението е получено на 14.04.2026 г. и държавната такса не внесена в указания срок.</w:t>
        <w:tab/>
        <w:br/>
        <w:tab/>
        <w:t xml:space="preserve"/>
        <w:tab/>
        <w:br/>
        <w:tab/>
        <w:t xml:space="preserve"> Ето защо касационната жалба трябва да се върне.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ВРЪЩА касационната жалба на ДП „НК Железопътна инфраструктура“, [населено място], срещу въззивно решение №302 от 13.12.2023 г. по в. гр. д. № 380/2023 г. на Шуменския окръжен съд. 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