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№2387/11.09.2024 по търг. д. №747/2023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2387</w:t>
        <w:tab/>
        <w:br/>
        <w:tab/>
        <w:t xml:space="preserve"/>
        <w:tab/>
        <w:br/>
        <w:tab/>
        <w:t xml:space="preserve">гр. София, 11.09.2024 год.ВЪРХОВЕН КАСАЦИОНЕН СЪД на Република България, Търговска колегия, Второ отделение, в закрито заседание през две хиляди и двадесет четвърта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изслуша докладваното Костадинка Недкова т. д. N 747 по описа за 2023г.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чл.248, ал.1 ГПК.</w:t>
        <w:tab/>
        <w:br/>
        <w:tab/>
        <w:t xml:space="preserve"/>
        <w:tab/>
        <w:br/>
        <w:tab/>
        <w:t xml:space="preserve">Образувано е по молба по чл.248, ал.1 ГПК на Сдружение „Национално бюро на българските автомобилни застрахователи“ за изменение на определение № 377/ 19.02.2024г. по т. д. № 747/2023г. по описа на ВКС, II т. о., в частта за разноските, чрез намаляване на присъденото в полза на насрещната страна адвокатско възнаграждение от 1500 лева на 1200 лева по съображения, подробно изложени в молбата. </w:t>
        <w:tab/>
        <w:br/>
        <w:tab/>
        <w:t xml:space="preserve"/>
        <w:tab/>
        <w:br/>
        <w:tab/>
        <w:t xml:space="preserve">Ответникът по молбата Д. А. К. - Б. не представя отговор на същата.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Изготвеният от адвоката на ответника по касацията отговор съдържа единствено становище относно основанията за касационно обжалване по чл.281 ГПК, без да са изложени каквито и да е съображения относно изложението за допускане на касационно обжалване по чл.284, ал.1, т.3 ГПК към касационната жалба, поради което молбата по чл.248, ал.1 ГПК се явява основателна и следва да бъде уважена. 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ИИЗМЕНЯ определение № 377/ 19.02.2024г. по т. д. № 747/2023г. по описа на ВКС, II т. о., в частта за разноските, като намалява присъдените в полза на Д. А. К. – Б. разноски, платими от Сдружение „Национално бюро на българските автомобилни застрахователи“, от 1500 лева на 1200 лева.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