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№236/29.05.2023 по ч. нак. д. №456/2023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236</w:t>
        <w:tab/>
        <w:br/>
        <w:tab/>
        <w:t xml:space="preserve"/>
        <w:tab/>
        <w:br/>
        <w:tab/>
        <w:t xml:space="preserve">гр.София, 29 май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девети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 след становище на прокурора от ВКП Тома Комов, като изслуша докладваното от съдия Грозданова наказателно частно дело № 456/2023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на а. н.д.№ 104/2023 година по описа на Районен съд – гр. Каварна.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като обсъди материалите по делото, намира, че са налице условията на чл. 43, т. 3 от НПК за промяна на местната подсъдност на образуваното пред РС Каварна съдебно производство по следните съображения: </w:t>
        <w:tab/>
        <w:br/>
        <w:tab/>
        <w:t xml:space="preserve"/>
        <w:tab/>
        <w:br/>
        <w:tab/>
        <w:t xml:space="preserve">Производството по а. н.д. № 104/2023 година е образувано по жалба на В. М. У. – П. срещу издаден електронен фиш серия К № 6907342/19.01.2023 година на ОДМВР Добрич. Жалбоподателката е </w:t>
        <w:tab/>
        <w:br/>
        <w:tab/>
        <w:t xml:space="preserve"/>
        <w:tab/>
        <w:br/>
        <w:tab/>
        <w:t xml:space="preserve">/длъжност/ на РС Каварна, комуто е местно подсъдно образуваното административно-наказателно производство и всички съдии от състава на съда са се отвели на основание чл. 31, вр. чл. 29, ал. 2 НПК.</w:t>
        <w:tab/>
        <w:br/>
        <w:tab/>
        <w:t xml:space="preserve"/>
        <w:tab/>
        <w:br/>
        <w:tab/>
        <w:t xml:space="preserve">С определение № 52/12.05.2023 година на председателя на РС – гр. Каварна производството по а. н.д. № 104/2023 година е прекратено и делото е изпратено на ВКС. </w:t>
        <w:tab/>
        <w:br/>
        <w:tab/>
        <w:t xml:space="preserve"/>
        <w:tab/>
        <w:br/>
        <w:tab/>
        <w:t xml:space="preserve"> Изложеното обуславя наличието на хипотезата на чл. 43, т. 3 от НПК и налага определянето на друг, еднакъв по степен и от друг съдебен район съд, който да разгледа делото. Това следва да бъде РС Варна, който е най-близко разположения териториално равен по степен съд на РС Каварна.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 прекратеното а. н.д. № 104/2023 година по описа на РС - Каварна за разглеждане и решаване от РС – Варна.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Препис от настоящото определение да се изпрати на РС Каварна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