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№336/11.05.2023 по търг. д. №370/2023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336</w:t>
        <w:tab/>
        <w:br/>
        <w:tab/>
        <w:t xml:space="preserve"/>
        <w:tab/>
        <w:br/>
        <w:tab/>
        <w:t xml:space="preserve">гр. София, 11.05. 2023г.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пети април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т. д.№370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47 и сл. от ЗМТА.</w:t>
        <w:tab/>
        <w:br/>
        <w:tab/>
        <w:t xml:space="preserve"/>
        <w:tab/>
        <w:br/>
        <w:tab/>
        <w:t xml:space="preserve"> Образувано е по предявен от „СМ БГ“ ЕООД и „КНМ ГРУП“ ЕООД иск с правно основание чл.47 от ЗМТА за прогласяване нищожността на определение на Арбитражния съд при Сдружение за правна помощ и медиация [населено място], обективирано в арбитражно решение от 24.02.2022г. по а. д. №190/2019г., с което арбитражният съд е постановил „след приключване на производството по делото, в прекратената част същото да се изпрати на компетентния съд – Окръжен съд, [населено място]“.</w:t>
        <w:tab/>
        <w:br/>
        <w:tab/>
        <w:t xml:space="preserve"/>
        <w:tab/>
        <w:br/>
        <w:tab/>
        <w:t xml:space="preserve"> Исковата молба е процесуално недопустима, тъй като е подадена срещу акт, който не може да бъде атакуван с иска за отмяна по чл.47 от ЗМТА. Съгласно разпоредбата на чл.6 от ЗМТА съдебните действия във връзка с арбитражното производство се допускат само в случаите, предвидени с този закон. Законът е ограничил допустимата намеса на държавния съд по отношение на арбитражното производство до задължение за съдействие в случаите по чл.9, чл.17, ал.2 и чл.37 от ЗМТА и до специфичен неинстанционен контрол в случаите по чл.16, ал.1, чл.47 и чл.51 от ЗМТА. В ЗМТА не е уредена възможност за обжалване пред държавния съд на определенията за прекратяване на арбитражното производство, нито за разпореждания на арбитражния съд, с които той препраща подадени пред него искови молби на съдилищата. За тези актове не е приложим и предвиденият ред за отмяна на влезли в сила арбитражни решения при наличието на изчерпателно изброените в чл.47 от ЗМТА основания. Видът на актовете, подлежащи на отмяна в производството по иск по чл.47 от ЗМТА, включително и поради нищожност, е изрично посочен и това са само арбитражните решения, които предвид силата на пресъдено нещо, която формират, съответно тяхната изпълнителна сила, засягат съществено правната сфера на участниците в арбитражното производство. С оглед императивния характер на уредбата относно отмяната на арбитражните решения, тя не може да се тълкува разширително и в приложното поле на чл.47 от ЗМТА не могат да бъдат включени други актове на арбитража, които не са предвидени от законодателя. </w:t>
        <w:tab/>
        <w:br/>
        <w:tab/>
        <w:t xml:space="preserve"/>
        <w:tab/>
        <w:br/>
        <w:tab/>
        <w:t xml:space="preserve"> Спорният въпрос относно възможността арбитражен съд да изпрати делото на надлежния съд по реда на чл.118 ал.2 от ГПК ще бъде предмет на преценка от съда, който ще бъде сезиран с препратената искова молба.</w:t>
        <w:tab/>
        <w:br/>
        <w:tab/>
        <w:t xml:space="preserve"/>
        <w:tab/>
        <w:br/>
        <w:tab/>
        <w:t xml:space="preserve"> По изложените съображения исковата молба следва да бъде оставена без разглеждане като недопустима.</w:t>
        <w:tab/>
        <w:br/>
        <w:tab/>
        <w:t xml:space="preserve"/>
        <w:tab/>
        <w:br/>
        <w:tab/>
        <w:t xml:space="preserve"> Воден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ОСТАВЯ БЕЗ РАЗГЛЕЖДАНЕ молбата на „СМ БГ“ ЕООД и „КНМ ГРУП“ ЕООД за прогласяване нищожността на определение на Арбитражния съд при Сдружение за правна помощ и медиация [населено място], обективирано в арбитражно решение от 24.02.2022г. по а. д.№190/2019г., с което арбитражният съд е постановил „след приключване на производството по делото, в прекратената част същото да се изпрати на компетентния съд – Окръжен съд, [населено място]“.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молителя.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