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№50157/23.05.2023 по гр. д. №27/2022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50157</w:t>
        <w:tab/>
        <w:br/>
        <w:tab/>
        <w:t xml:space="preserve"/>
        <w:tab/>
        <w:br/>
        <w:tab/>
        <w:t xml:space="preserve">гр. София 23.05.2023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22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 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27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 определение № 199/13.06.2022 г. производството по настоящото дело е спряно до постановяване на тълкувателно решение по т. дело № 4/2021 г. на ОСГК на ВКС.</w:t>
        <w:tab/>
        <w:br/>
        <w:tab/>
        <w:t xml:space="preserve"/>
        <w:tab/>
        <w:br/>
        <w:tab/>
        <w:t xml:space="preserve">По посоченото тълкувателно дело е прието тълкувателно решение № 4/18.05.2023 г., поради което производството следва да бъде възобновено.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Възобновява производството по гр. дело № 27/2022 г. на ВКС, IV г. о.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закрито съдебно заседание в производството по чл.288 ГПК.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