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№50120/20.04.2023 по гр. д. №1817/2021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Е№ 50120</w:t>
        <w:tab/>
        <w:br/>
        <w:tab/>
        <w:t xml:space="preserve"/>
        <w:tab/>
        <w:br/>
        <w:tab/>
        <w:t xml:space="preserve">София, 20.04.2023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десети април през две хиляди двадесет и третата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1817 по описа на четвърто гражданско отделение на ВКС за 2021 г.,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е по реда на чл. 230 ГПК.</w:t>
        <w:tab/>
        <w:br/>
        <w:tab/>
        <w:t xml:space="preserve"/>
        <w:tab/>
        <w:br/>
        <w:tab/>
        <w:t xml:space="preserve">С определение № 60255 от 14 октомври 2021 г., постановено по настоящото дело, е спряно производството пред касационния съд до постановяване на тълкувателно решение по тълк. д. № 3/2020 г., ОСГТК, ВКС. Тълкувателното дело е приключило с постановяване на тълкувателно решение от 28 март 2023 г., поради което пречката за движението на делото е отпаднала и се налага производството по делото да бъде възобновено.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Делото да се докладва на председателя на IV г. о., ВКС, за насрочването му в закрито съдебно заседание по реда на чл. 288 ГПК.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