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№50379/24.11.2022 по гр. д. №1579/2022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50379</w:t>
        <w:tab/>
        <w:br/>
        <w:tab/>
        <w:t xml:space="preserve"/>
        <w:tab/>
        <w:br/>
        <w:tab/>
        <w:t xml:space="preserve">гр. София, 24.11.2022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десети ноември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1579/2022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придобитото имущество (КПКОНПИ, Комисията) чрез процесуален представител В. Д. - гл. инспектор в ТД - Бургас на Комисията срещу решение № 11 от 28.01.2022 г. по гр. д. № 243/2021 г. на Апелативен съд – Бургас.</w:t>
        <w:tab/>
        <w:br/>
        <w:tab/>
        <w:t xml:space="preserve"/>
        <w:tab/>
        <w:br/>
        <w:tab/>
        <w:t xml:space="preserve"> Ответниците по жалбата А. М. Р. и Ш. М. Р. чрез общия им пълномощник адв. Г. са подали отговор в срока по чл. 287, ал. 1 ГПК, с който ангажират становище за липсата на основания за допускане на касационно обжалване и за нейната неоснователност. </w:t>
        <w:tab/>
        <w:br/>
        <w:tab/>
        <w:t xml:space="preserve"/>
        <w:tab/>
        <w:br/>
        <w:tab/>
        <w:t xml:space="preserve">Предмет на жалбата е посоченото въззивно решение, с което е отменено решение № 28 от 04.03.2021 г. по гр. д. № 1401/2019 г. на Окръжен съд – Бургас и е отхвърлен предявения от Комисията против Ш. М. Р. и А. М. Р. иск с правно основание чл. 153, ал. 1 ЗПКОНПИ, за отнемане в полза на държавата на незаконно придобито имущество на обща стойност 196 384. 67 лв.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установил, че Ш. Р. е бил привлечен като обвиняем за престъпление по чл. 234, ал. 2, т. 3, вр. с ал. 1, предл. 2 НК (държане на акцизни стоки – цигари без бандерол в големи количества), попадащо в обхвата на чл. 108, ал. 1, т. 15 ЗПКОНПИ, за което Комисията е била надлежно уведомена и е започнала проверка по чл. 107, ал. 2 от приложимия закон за установяване налице ли е значително несъответствие в имуществото на лицето за проверявания период 13.02.2008 г. -13.02.2018 г. Изтъкнато е също, че Ш. Р. има сключен на 25.07.2004 г. граждански брак с А. М. Р.. При проверката е било установено несъответствие между имуществото и нетния доход на проверяваното лице и неговата съпруга в размер на 278 444. 19 лв. Въз основа на тези установявания е прието решение от Комисията за предявяване иск за отнемане в полза на държавата на незаконно придобитото имущество пред компетентния окръжен съд. Посочено е, че с одобрено споразумение по НОХД 175/2018 г. на Районен съд ответникът Ш. Р. е признал вината си в извършване на горното престъпно деяние. Инстанцията по същество е приела, че с исковата молба са заявени неналични парични суми, като придобито от ответниците през проверявания период имущество, включено в общата сума от 213 058. 67 лв., а именно: 15 000 лв. – „разход за предоставен заем“ (предоставен от А. Р. на „Рашем“ ЕООД, съгласно декларация по чл. 50 ЗДДФЛ за 2009 г. и според ищцовата комисия възстановен на заемодателя от дружеството, съгласно счетоводния баланс от 2010 г.), 149 000 лв. – „разход за допълнителни парични вноски“ (от Ш. Р. в „Рашем“ ЕООД – 99 000 лв. и от А. Р. в „Анел Р.“ ЕООД – 50 000 лв.), 22 010. 81 лв. – „разход за погасителни вноски“ по банкови кредити, 17 947. 86 лв. – „получени/изпратени суми от/към трети лица“ (получени от А. Р. от Турция чрез „Western Union“ 9 500 щ. д. с равностойност в лева 13 144. 23 лв. и 2 189. 50 евро или 4 282. 29 лв.; изпратени в Турция от А. Р. 521. 34 лв.) и 4 000 лв. – „превод от трето лице“. В обжалваното решение е изразено разбиране, че неналичните парични суми, представляващи погасителни вноски по кредити, вноски по банкови сметки, парични вноски в собствени дружества, предоставени на трети лица или получени от трети лица не съставляват „имущество“ по смисъла на чл. 156, ал. 4, т. 1, вр. с § 1, т. 4 ЗПКОНПИ. Развити са доводи, че легалната дефиниция на това понятие определя „имущество“ – то като всякакъв вид собственост, но това изключва преминалите през патримониума на проверяваното лице парични средства, които не са налични, т. е. към момента на проверката са били изразходвани и съставляват разход, както са и определени в цитираните по-горе пера към общата сума на имуществото по исковата молба. Съдът се е позовал и на приетото в мотивите на решение № 13 от 13.10.2012 г. по конст. дело № 6/2012 г. на Конституционния съд на РБ, че на изследване подлежи имуществото, с което проверяваният е разполагал в началото и в края на изследвания период, увеличаването му през периода от законни източници, направените разходи и възникналите задължения. Констатирал е, че парични средства, които са били в наличност у лицето или в негови сметки в определен момент, но не се установяват да са налице в края на периода, нямат характер на „имущество по смисъла на специалния закон. Същите са изразходвани и съставляват разход, а не притежавано имущество. Като разходвани, липсващи, те не могат да бъдат предмет на отнемане в полза на държавата, извън специално предвидените в закона хипотези при отчуждено имущество с парична равностойност. Позоваването от страна на Комисията на разпоредбата на чл. 151 ЗПКОНПИ е прието за несъстоятелно. По тези съображения въззивният съд е заключил, че придобитото от ответниците през проверявания период имущество, налично в края на периода или отчуждено срещу парична равностойност, представлява единствено дружествените дялове от капитала на „А. 8“ ЕООД и на „Анел Р.“ ЕООД, на обща стойност 5 100 лв. и сочи на липса на превишение, т. е. липсва увеличение в имущественото състояние на ответниците, респ. значително несъответствие в имуществото им, което е под прага на предвидените в закона 150 000 лв. за проверявания период. </w:t>
        <w:tab/>
        <w:br/>
        <w:tab/>
        <w:t xml:space="preserve"/>
        <w:tab/>
        <w:br/>
        <w:tab/>
        <w:t xml:space="preserve">В изложението по чл. 284, ал. 3, т. 1 ГПК касаторът обосновава искане за достъп до касация на основание чл. 280, ал. 1, т. 3 ГПК по следните въпроси:</w:t>
        <w:tab/>
        <w:br/>
        <w:tab/>
        <w:t xml:space="preserve"/>
        <w:tab/>
        <w:br/>
        <w:tab/>
        <w:t xml:space="preserve">1. „Следва ли да намерят отражение при определяне размера на несъответствието по смисъла на § 1, т. 7 от ДР на ЗОПДНПИ (отм.) и § 1, т. 3 от ДР на ЗПКОНПИ размерът на внесените и постъпили суми по банкови сметки и извършените допълнителни вноски по чл. 134 ТЗ в търговски дружества на ответниците, за които не се установява законово основание за придобиването на средствата, послужили за внасянето/постъпването им?“;</w:t>
        <w:tab/>
        <w:br/>
        <w:tab/>
        <w:t xml:space="preserve"/>
        <w:tab/>
        <w:br/>
        <w:tab/>
        <w:t xml:space="preserve">2. „Подлежат ли на отнемане в полза на държавата по ЗОПДНПИ (отм.) и ЗПКОНПИ внесените и постъпили суми по банкови сметки на проверяваните лица, за които не се установява законово основание за внасянето/постъпването им, но неналични в края на проверявания период?“. </w:t>
        <w:tab/>
        <w:br/>
        <w:tab/>
        <w:t xml:space="preserve"/>
        <w:tab/>
        <w:br/>
        <w:tab/>
        <w:t xml:space="preserve">Предвид на отправените питания настоящият състав на Върховния касационен съд, III г. о., съобрази следното:</w:t>
        <w:tab/>
        <w:br/>
        <w:tab/>
        <w:t xml:space="preserve"/>
        <w:tab/>
        <w:br/>
        <w:tab/>
        <w:t xml:space="preserve">С разпореждане от 15.10.2021 г. на Председателя на Върховния касационен съд е образувано тълкувателно дело № 4/2021 г. по описа на ВКС, Гражданска колегия по следните въпроси: </w:t>
        <w:tab/>
        <w:br/>
        <w:tab/>
        <w:t xml:space="preserve"/>
        <w:tab/>
        <w:br/>
        <w:tab/>
        <w:t xml:space="preserve">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период?; </w:t>
        <w:tab/>
        <w:br/>
        <w:tab/>
        <w:t xml:space="preserve"/>
        <w:tab/>
        <w:br/>
        <w:tab/>
        <w:t xml:space="preserve">2. „Подлежи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имущество?“ – въпросът е прередактиран съобразно решение на ОСГК на ВКС от 17.03.2022 г.</w:t>
        <w:tab/>
        <w:br/>
        <w:tab/>
        <w:t xml:space="preserve"/>
        <w:tab/>
        <w:br/>
        <w:tab/>
        <w:t xml:space="preserve">Поради изложеното, доколкото повдигнатите два въпроса попадат в предмета на образуваното тълкувателно дело и правните разрешения, които ще бъдат дадени по него са обуславящи за изхода на спора, до постановяване на решение по това дело настоящото производство следва да бъде спряно.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гр. д. № 1579/2022 г. на Върховен касационен съд, Гражданска колегия, Трето отделение до приключване на производството по тълкувателно дело № 4/2021 г. на ОСГК на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