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№1623/14.02.2023 по адм. д. №7622/2022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1623 София, 14.02.2023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Малина Ачкаканова изслуша докладваното от съдията Юлия Раева по административно дело № 7622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Асеновград и касационна жалба на ръководителя на Управляващия орган на Оперативна програма „Региони в растеж“ (УО на ОПРР) 2014-2020 г. срещу Решение № 1174 от 22.06.2022 г. по адм. дело № 1220/2022 г. на Административен съд – Пловдив.</w:t>
        <w:tab/>
        <w:br/>
        <w:tab/>
        <w:t xml:space="preserve">Касационната жалба на община Асеновград е срещу съдебното решение в частта му, с която е отхвърлена жалбата на общината срещу Решение № РД-02-36-409 от 14.04.2022 г. на ръководителя на УО на ОПРР в частта, с която е установена нередност по т. 11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нарушение на чл. 70, ал. 7, т. 2 и 3, б. „б“, във връзка с чл. 2, ал. 2 ЗОП, във връзка с чл. 2, ал. 1, т. 2 ЗОП и чл. 33, ал. 1, изр. 2 ППЗОП и е определена финансова корекция на община Асеновград в размер на 10 % от допустимите разходи по договор № BG16RFOP001-1.025-0006-С01-S-03 от 07.08.2020 г. с изпълнител „ЗАПРЯНОВИ – 03“ ООД на стойност 3 396 735,53 лева без ДДС.</w:t>
        <w:tab/>
        <w:br/>
        <w:tab/>
        <w:t xml:space="preserve">Касационната жалба на административния орган е срещу съдебното решение в частта му, с която е отменено Решение № РД-02-36-409 от 14.04.2022 г. на ръководителя на УО на ОПРР в частта, с която е установена нередност по т. 11 от приложение № 1 към чл. 2, ал. 1 от Наредбата за посочване на нередности за нарушение на чл. 2, ал. 1, т. 1 и 2 и ал. 2 и чл. 59, ал. 2 и 6 ЗОП, във връзка с чл. 3, ал. 3 ЗКС.</w:t>
        <w:tab/>
        <w:br/>
        <w:tab/>
        <w:t xml:space="preserve">Касационният жалбоподател - община Асеновград, навежда доводи за неправилност на решението в обжалваната част поради нарушение на материалния закон, съществени нарушения на съдопроизводствените правила и необоснованост - касационни основания по чл. 209, т. 3 АПК. Излага аргументи за липса на установените от органа нарушения, съответно за неосъществен състав на описаната в акта нередност и липса на основание за определяне на финансова корекция. Прави искане за отмяна на съдебното решение в обжалваната част. Претендира разноски за двете съдебни инстанции по представен списък.</w:t>
        <w:tab/>
        <w:br/>
        <w:tab/>
        <w:t xml:space="preserve">Касационният жалбоподател - ръководителят на Управляващия орган на Оперативна програма „Региони в растеж“ 2014-2020 г., навежда доводи за неправилност на решението в обжалваната част поради нарушение на материалния закон и необоснованост - касационни основания по чл. 209, т. 3, пр. 1 и 3 АПК. Оспорва изводите на съда за липса на констатираното нарушение и съответно за неосъществяване състава на нередност. Прави искане оспореното решение да бъде отменено в обжалваната част. Претендира разноски за двете съдебни инстанции и прави възражение за прекомерност на претендираните от ответната страна разноски за процесуално представителство в случай, че същите надвишават нормативно установения минимален размер.</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Касационните жалби са подадени от надлежни страни, при спазване на срока по чл. 211, ал. 1 АПК и срещу решение, което подлежи на обжалване, поради което са процесуално допустими.</w:t>
        <w:tab/>
        <w:br/>
        <w:tab/>
        <w:t xml:space="preserve">При разглеждането им по същество Върховният административен съд приема следното:</w:t>
        <w:tab/>
        <w:br/>
        <w:tab/>
        <w:t xml:space="preserve">Предмет на обжалване пред административния съд е Решение № РД-02-36-409 от 14.04.2022 г. на ръководителя на УО на ОПРР за определяне на финансова корекция на община Асеновград в размер на 10 % върху допустимите разходи по договор № BG16RFOP001-1.025-0006-C01-S-03 от 07.08.2020 г. с изпълнител „ЗАПРЯНОВИ – 03“ ООД на стойност 3 396 735,53 лева без ДДС.</w:t>
        <w:tab/>
        <w:br/>
        <w:tab/>
        <w:t xml:space="preserve">Административният акт е издаден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във връзка с установени нарушения, допуснати от община Асеновград при възлагане на обществена поръчка с предмет „Изпълнение на СМР на обект: „Благоустрояване на част от централната зона и площад „Акад. Николай Хитов“ в гр. Асеновград - I етап“. Процедурата е открита с решение на кмета на община Асеновград от 11.06.2020 г.</w:t>
        <w:tab/>
        <w:br/>
        <w:tab/>
        <w:t xml:space="preserve">Актът е мотивиран с констатации за следните нарушения:</w:t>
        <w:tab/>
        <w:br/>
        <w:tab/>
        <w:t xml:space="preserve">1. Ограничителен критерии за подбор - т. 1.1.1 от акта.</w:t>
        <w:tab/>
        <w:br/>
        <w:tab/>
        <w:t xml:space="preserve">Според административния орган въведеното условие за вписване в Централния професионален регистър на строителя (ЦПРС) на всички участници в обединението е в нарушение на чл. 2, ал. 1, т. 1 и 2 и ал. 2 и чл. 59, ал. 2 и 6 ЗОП, във връзка с чл. 3, ал. 3 ЗКС.</w:t>
        <w:tab/>
        <w:br/>
        <w:tab/>
        <w:t xml:space="preserve">2. Незаконосъобразна методика за оценка - т. 1.2 от акта.</w:t>
        <w:tab/>
        <w:br/>
        <w:tab/>
        <w:t xml:space="preserve">Според административния орган методиката в частта на техническия показател не дава възможност да бъдат сравнени и оценени обективно техническите предложения в офертите и не осигурява на кандидатите и участниците достатъчно информация за правилата, които ще се прилагат при определяне на оценката. Административният орган е констатирал също така, че с техническия показател се оценява пълнотата и начина на представяне на информацията, а не качеството на изпълнението, в нарушение на чл. 33, ал. 1, изр. 2 ППЗОП.</w:t>
        <w:tab/>
        <w:br/>
        <w:tab/>
        <w:t xml:space="preserve">Като нарушени са посочени следните разпоредби от националното законодателство: чл. 70, ал. 7, т. 2 и 3, б. „б“, във връзка с чл. 2, ал. 2 ЗОП, във връзка с чл. 2, ал. 1, т. 2 ЗОП и чл. 33, ал. 1, изр. 2 ППЗОП.</w:t>
        <w:tab/>
        <w:br/>
        <w:tab/>
        <w:t xml:space="preserve">И двете нарушения са квалифицирани като нередности по т. 11 „Използване на: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буква „а” от Приложение № 1 към чл. 2, ал. 1 от Наредбата за посочване на нередности.</w:t>
        <w:tab/>
        <w:br/>
        <w:tab/>
        <w:t xml:space="preserve">За горните нередности е определена обща финансова корекция в размер на 10 % от допустимите разходи по засегнатия от нарушенията договор.</w:t>
        <w:tab/>
        <w:br/>
        <w:tab/>
        <w:t xml:space="preserve">От правна страна съдът е обосновал незаконосъобразност на административния акт в частта му по т. 1.1.1, тъй като не са допуснати констатираните от органа нарушения на ЗОП и ЗКС – отменително основание по чл. 146, т. 4 АПК. По тези съображения е отменил акта в частта му по т. 1.1.1. В останалата част – по отношение на констатацията по т. 1.2 от акта, съдът е приел, че актът не страда от пороците по чл. 146 АПК и е отхвърлил жалбата.</w:t>
        <w:tab/>
        <w:br/>
        <w:tab/>
        <w:t xml:space="preserve">Обжалваното съдебно решение е недопустимо в частта, с която се отменя актът (за установеното нарушение на чл. 2, ал. 1, т. 1 и 2 и ал. 2 и чл. 59, ал. 2 и 6 ЗОП, във връзка с чл. 3, ал. 3 ЗКС), тъй като в тази част административният акт не поражда самостоятелно правни последици, а съдържа единствено констатация за допуснато нарушение на ЗОП, квалифицирано като нередност по т. 11, б. „а” от Приложение № 1 към чл. 2, ал. 1 от Наредбата за посочване на нередности. Кумулативността на изискването по чл. 73, ал. 1 ЗУСЕФСУ за определяне на финансова корекция по основание и размер, за да се отмени изцяло или частично финансовата подкрепа, лишава от правен ефект изричната отмяна на акта само в частта на основанието. По същите съображения решението е недопустимо и в частта, в която съдът конкретизира, че отхвърля жалбата срещу т. 1.2 от акта относно констатацията за незаконосъобразна методика вместо да постанови отхвърляне на жалбата в нейната цялост. В посочените части решението следва да бъде обезсилено.</w:t>
        <w:tab/>
        <w:br/>
        <w:tab/>
        <w:t xml:space="preserve">В останалата част решението е валидно, допустимо и правилно.</w:t>
        <w:tab/>
        <w:br/>
        <w:tab/>
        <w:t xml:space="preserve">Предвид обжалването в цялост на постановеното съдебно решение, касационната инстанция дължи проверка на изводите на съда относно всички нередности, послужили като основание за определяне на финансовата корекция.</w:t>
        <w:tab/>
        <w:br/>
        <w:tab/>
        <w:t xml:space="preserve">1. Относно нарушението на чл. 2, ал. 1, т. 1 и 2 и ал. 2 и чл. 59, ал. 2 и 6 ЗОП, във връзка с чл. 3, ал. 3 ЗКС, квалифицирано като нередност по т. 11, б. „а“ от Приложение № 1 към чл. 2, ал. 1 от Наредба за посочване на нередности - т. 1.1.1 от акта.</w:t>
        <w:tab/>
        <w:br/>
        <w:tab/>
        <w:t xml:space="preserve">Правилен е изводът на съда за липса на констатираното нарушение.</w:t>
        <w:tab/>
        <w:br/>
        <w:tab/>
        <w:t xml:space="preserve">В раздел III.1) Условия за участие от обявлението за поръчката и раздел 3. Критерии за подбор от раздел II. „Условия за участие“ от документацията за участие, възложителят е поставил изискване участникът да е вписан в ЦПРС към Камарата на строителите за изпълнение на строежи от категорията строеж, в която попада обектът на поръчката – четвърта група, III категория, а за чуждестранни лица - в аналогични регистри съгласно законодателството на държавата членка, в която са установени.</w:t>
        <w:tab/>
        <w:br/>
        <w:tab/>
        <w:t xml:space="preserve">Относно участието на обединения възложителят е посочил следното:</w:t>
        <w:tab/>
        <w:b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на разпределението на участието на лицата при изпълнение на дейностите, предвидено в договора за създаване на обединението.</w:t>
        <w:tab/>
        <w:br/>
        <w:tab/>
        <w:t xml:space="preserve">Безспорно е, че съгласно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В случая възложителят изрично е уточнил, че изискването за вписване е с оглед на разпределението на дейностите, установено в договора за създаване на обединение, поради което не е допуснал нарушението, описано в административния акт.</w:t>
        <w:tab/>
        <w:br/>
        <w:tab/>
        <w:t xml:space="preserve">2. Относно нарушението на чл. 70, ал. 7, т. 2 и 3, б. „б“, във връзка с чл. 2, ал. 2 ЗОП, във връзка с чл. 2, ал. 1, т. 2 ЗОП и чл. 33, ал. 1, изр. 2 ППЗОП, квалифицирано като нередност по т. 11, б. „а“ от Приложение № 1 към чл. 2, ал. 1 от Наредба за посочване на нередности - т. 1.2 от акта.</w:t>
        <w:tab/>
        <w:br/>
        <w:tab/>
        <w:t xml:space="preserve">Правилен е изводът на съда за наличие на констатираното от ръководителя на УО нарушение.</w:t>
        <w:tab/>
        <w:br/>
        <w:tab/>
        <w:t xml:space="preserve">Техническите оферти на участниците се оценяват по два показателя: Технически показател (ТП) с относителна тежест 40 % и Финансов показател (ФП) с относителна тежест 60 %. Чрез ТП се оценява посочената организация на работа, както и начинът, по който ще бъдат изпълнени строителните работи. С максимален брои точки по показателя (40 т.) се оценява предложение, което отговаря на минималните изисквания на възложителя и съдържа всяко едно от общо три надграждащи обстоятелства.</w:t>
        <w:tab/>
        <w:br/>
        <w:tab/>
        <w:t xml:space="preserve">Минималните изисквания на възложителя са:</w:t>
        <w:tab/>
        <w:br/>
        <w:tab/>
        <w:t xml:space="preserve">- участникът е предложил организация за изпълнение на строителството, посочил е разпределението на задълженията и отговорностите на отделните ключови експерти, мобилизацията на предвидените техника и механизация и е представил методите за осъществяване на комуникацията и координацията с възложителя;</w:t>
        <w:tab/>
        <w:br/>
        <w:tab/>
        <w:t xml:space="preserve">- участникът е представил линеен график за изпълнение на поръчката, заедно с диаграма на работната ръка, като за всяка дейност са дефинирани необходимите ресурси за нейното изпълнение.</w:t>
        <w:tab/>
        <w:br/>
        <w:tab/>
        <w:t xml:space="preserve">Надграждащите обстоятелства са следните:</w:t>
        <w:tab/>
        <w:br/>
        <w:tab/>
        <w:t xml:space="preserve">1. Демонстрираната последователност на отделните строителни дейности и посочената взаимообвързаност върху конкретните работи при изпълнение на строителството обосновават и спомагат за навременното и качествено постигане на целените резултати. Представени са конкретни аргументи (силните и положителни страни) как предложената организация и начина на работа ще гарантират качественото и срочно изпълнение на поръчката;</w:t>
        <w:tab/>
        <w:br/>
        <w:tab/>
        <w:t xml:space="preserve">2. Предложени са мерки за вътрешен контрол и механизми за осигуряване на качество по време на изпълнението на строителството, които обосновават и пораждат увереност в точното и навременно изпълнение на поръчката;</w:t>
        <w:tab/>
        <w:br/>
        <w:tab/>
        <w:t xml:space="preserve">3. Предложени са конкретни методи и механизми, чрез които да се елиминира или минимизира негативното проявление спрямо социалната и околната среда и нейните компоненти.</w:t>
        <w:tab/>
        <w:br/>
        <w:tab/>
        <w:t xml:space="preserve">Предложенията на участниците, които отговарят на минималните изисквания на възложителя и съдържат две, едно или нито едно от надграждащите обстоятелства се оценяват съответно с 30 т., 20 т. или 10 т.</w:t>
        <w:tab/>
        <w:br/>
        <w:tab/>
        <w:t xml:space="preserve">Дадени са дефиниции на използваните в методиката понятия „обосновава“, „конкретно“, „конкретни методи и механизми“ и „неподходяща оферта“:</w:t>
        <w:tab/>
        <w:br/>
        <w:tab/>
        <w:t xml:space="preserve">„Обосновава“ означава обяснение за приложимостта и полезността на предложените дейности/мерки при изпълнението на поръчката.</w:t>
        <w:tab/>
        <w:br/>
        <w:tab/>
        <w:t xml:space="preserve">Под „конкретно“ следва да се разбира описание, което не се ограничава единствено до схематично изброяване на силните и положителни страни на предложената организация и начин на работа, а са добавени пояснения, касаещи връзката между предвидените отделни строителни дейности и мерки при изпълнение на поръчката и целеният краен резултат.</w:t>
        <w:tab/>
        <w:br/>
        <w:tab/>
        <w:t xml:space="preserve">Под „конкретни методи и механизми“ следва да се разбират методи и механизми, свързани с реалното им приложение при изпълнение на строителството, предмет на поръчката, а не с такива, които са общо приложими в строителния процес.</w:t>
        <w:tab/>
        <w:br/>
        <w:tab/>
        <w:t xml:space="preserve">„Неподходяща оферта“ е тази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w:t>
        <w:tab/>
        <w:br/>
        <w:tab/>
        <w:t xml:space="preserve">Правилен е изводът, че цитираните по-горе дефиниции са неясни и оценката по процесния показател се извършва въз основа на обективно неизмерими условия, които не позволяват разграничаването на минималните изисквания на възложителя от надграждащите обстоятелства, както и разграничаването на самите надграждащи обстоятелства едно от друго. Неясният начин на оценяване създава предпоставки за прилагане на различен оценъчен подход спрямо едно и също обстоятелство, което влияе възпиращо върху потенциалните участници. На следващо място, видно от механизма за оценяване броят на точките зависи от пълнотата на информацията и обема на описание, в резултат на което помощният орган на възложителя ще оценява офертите с оглед на пълнотата и начина на представяне на информацията в нарушение на забраната по чл. 33, ал. 1 ППЗОП. Предвид липсата на обективни и предварително зададени показатели за оценка методиката не обезпечава информираността на участниците за правилата, които ще се прилагат при оценката на техните оферти, нито дава възможност да бъдат сравнени и оценени обективно техническите предложения в офертите.</w:t>
        <w:tab/>
        <w:br/>
        <w:tab/>
        <w:t xml:space="preserve">По горните съображения се потвърждава изводът на административния орган, правилно възприет и от съда, че утвърдената методика е в нарушение на чл. 70, ал. 7, т. 2 и 3, б. „б“, във връзка с чл. 2, ал. 2 ЗОП, във връзка с чл. 2, ал. 1, т. 2 ЗОП и чл. 33, ал. 1, изр. 2 ППЗОП. Допуснатото нарушение правилно е квалифицирано като нередност по т. 11, б. „а“ от Приложение № 1 към чл. 2, ал. 1 от Наредбата за посочване на нередности, в която е предвиден процентен показател от 10 %.</w:t>
        <w:tab/>
        <w:br/>
        <w:tab/>
        <w:t xml:space="preserve">В обобщение касационната инстанция приема, че описаното нарушение в т.1.1.1 от акта не е налице, а констатацията за допуснато нарушение по т. 1.2 се потвърждава като обоснована при правилно установена фактическа обстановка и правилно приложение на закона. Липсата на първото нарушение не рефлектира върху законосъобразността на административния акт, тъй като по второто установено нарушение се предвижда същият процентен показател, а именно от 10 %.</w:t>
        <w:tab/>
        <w:br/>
        <w:tab/>
        <w:t xml:space="preserve">По горните съображения, независимо от липсата на нарушението, констатирано в т. 1.1.1 от акта, административният акт не страда от пороците по чл. 146 АПК, законосъобразен е и съдът е следвало да отхвърли жалбата изцяло. Второто констатирано нарушение в т. 1.2 от акта, осъществяващо състав на нередност, е достатъчно основание за определяне на корекция в посочения от органа размер.</w:t>
        <w:tab/>
        <w:br/>
        <w:tab/>
        <w:t xml:space="preserve">По горните съображения обжалваното решение следва да бъде обезсилено в частта, с която съдът е отменил административния акт в частта, с която е установена нередност по т. 11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за нарушение на чл. 2, ал. 1, т. 1 и 2 и ал. 2 и чл. 59, ал. 2 и 6 ЗОП, във връзка с чл. 3, ал. 3 ЗКС.</w:t>
        <w:tab/>
        <w:br/>
        <w:tab/>
        <w:t xml:space="preserve">Решението следва да бъде отменено в частта, с която Министерството на регионалното развитие и благоустройството е осъдено да заплати в полза на община Асеновград разноски в размер на 4 810 лв.</w:t>
        <w:tab/>
        <w:br/>
        <w:tab/>
        <w:t xml:space="preserve">В останалата част решението следва да бъде оставено в сила.</w:t>
        <w:tab/>
        <w:br/>
        <w:tab/>
        <w:t xml:space="preserve">Съобразно изхода на спора в полза на Министерството на регионалното развитие и благоустройството следва да бъдат присъдени разноски за касационната инстанция в общ размер на 1 800 лв., от които 100 лв. юрисконсултско възнаграждение и 1 700 лева заплатена държавна такса.</w:t>
        <w:tab/>
        <w:br/>
        <w:tab/>
        <w:t xml:space="preserve">Водим от горното и на основание чл. 221, ал. 2 и 3 АПК Върховният административен съд, седмо отделение</w:t>
        <w:tab/>
        <w:br/>
        <w:tab/>
        <w:t xml:space="preserve">РЕШИ:</w:t>
        <w:tab/>
        <w:br/>
        <w:tab/>
        <w:t xml:space="preserve">ОБЕЗСИЛВА Решение № 1174 от 22.06.2022 г. по адм. дело № 1220/2022 г. на Административен съд – Пловдив в частта, с която е отменено Решение № РД-02-36-409 от 14.04.2022 г. на ръководителя на Управляващия орган на Оперативна програма „Региони в растеж” в частта, с която е установена нередност по т. 11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за нарушение на чл. 2, ал. 1, т. 1 и 2 и ал. 2 и чл. 59, ал. 2 и 6 ЗОП, във връзка с чл. 3, ал. 3 ЗКС, както и в частта „установена нередност по т. 11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установено е нарушение по чл. 70, ал. 7, т. 2 и 3, б. „б“, във връзка с чл. 2, ал. 2 ЗОП, във връзка с чл. 2, ал. 1, т. 2 ЗОП и чл. 33, ал. 1, изр. 2 ППЗОП“.</w:t>
        <w:tab/>
        <w:br/>
        <w:tab/>
        <w:t xml:space="preserve">ОТМЕНЯ Решение № 1174 от 22.06.2022 г. по адм. дело № 1220/2022 г. на Административен съд – Пловдив в частта, с която Министерството на регионалното развитие и благоустройството е осъдено да заплати на община Асеновград разноски в размер на 4 810 (четири хиляди осемстотин и десет) лева.</w:t>
        <w:tab/>
        <w:br/>
        <w:tab/>
        <w:t xml:space="preserve">ОСТАВЯ В СИЛА решението в останалата част.</w:t>
        <w:tab/>
        <w:br/>
        <w:tab/>
        <w:t xml:space="preserve">ОСЪЖДА община Асеновград да заплати на Министерството на регионалното развитие и благоустройството разноски в размер на 1 800 (хиляда и осемстотин)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