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№50343/13.10.2022 по гр. д. №1188/2022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№50343</w:t>
        <w:tab/>
        <w:br/>
        <w:tab/>
        <w:t xml:space="preserve"/>
        <w:tab/>
        <w:br/>
        <w:tab/>
        <w:t xml:space="preserve"> Гр. София,13.10.2022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закрито заседание на 12.10.22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Иванова гр. д. №1188/22 г., намира следното:</w:t>
        <w:tab/>
        <w:br/>
        <w:tab/>
        <w:t xml:space="preserve"/>
        <w:tab/>
        <w:br/>
        <w:tab/>
        <w:t xml:space="preserve"> Производството е по чл.288, вр. с чл.280 ГПК.</w:t>
        <w:tab/>
        <w:br/>
        <w:tab/>
        <w:t xml:space="preserve"/>
        <w:tab/>
        <w:br/>
        <w:tab/>
        <w:t xml:space="preserve"> ВКС се произнася по допустимостта на касационните жалби на КПКОНПИ и на Д. Х., С. Х., П. Х. и „Дипрес – ДХ” ЕООД – гр. Габрово срещу въззивното решение на Апелативен съд Велико Търново по гр. д. №376/21 г. в различни негови части и по допускане на обжалването. С въззивното решение е уважен частично предявеният от КПКОНПИ срещу ответниците Х. и „Дипрес – ДХ” ЕООД иск по чл.154 ЗПКОНПИ, за отнемане на незаконно придобито имущество с обща стойност 456 504,70 лв.</w:t>
        <w:tab/>
        <w:br/>
        <w:tab/>
        <w:t xml:space="preserve"/>
        <w:tab/>
        <w:br/>
        <w:tab/>
        <w:t xml:space="preserve"> Касационните жалби са подадени в срока по чл.283 ГПК срещу подлежащо на обжалване въззивно решение и са допустими.</w:t>
        <w:tab/>
        <w:br/>
        <w:tab/>
        <w:t xml:space="preserve"/>
        <w:tab/>
        <w:br/>
        <w:tab/>
        <w:t xml:space="preserve"> Във връзка с допускане на обжалването на въззивното решение съответно в отхвърлителната му и в уважителната му за иска част касаторите и по двете жалби се позовават на противоречивата практика по правните въпроси – предмет на образуваното пред ВКС, ОСГК тълкувателно дело №4/21 г., а именно: 1.Представляват ли „имущество“ по смисъла на § 1, т. 4 от ДР на ЗПКОНПИ и участват ли при определяне размера на несъответствието, съобразно нормата на § 1, т. 3 от ДР на ЗПКОНПИ,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период?; 2. Подлежи ли на отнемане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имущество?</w:t>
        <w:tab/>
        <w:br/>
        <w:tab/>
        <w:t xml:space="preserve"/>
        <w:tab/>
        <w:br/>
        <w:tab/>
        <w:t xml:space="preserve"> Решаващ извод на въззивния съд в обжалваното решение е, че „не подлежи на отнемане паричната равностойност на имущество, което е придобито през периода на проверката без доказателства за законен източник на средствата за придобиването му, но не е налично в края на периода, и че не подлежат на отнемане парични суми, които не се намират в патримониума на ответниците в края на проверявания период, а са изразходвани без да са трансформирани в реални активи, налични към същия момент”. ВКС, като взе предвид позоваването на страните на противоречивата практика и образуваното пред ВКС тълкувателно дело по въпроси, свързани с този извод, намира че следва да спре производството по настоящото гр. дело до постановяване на тълкувателно решение по тълк. д. №4/2021 г. ОСГК.</w:t>
        <w:tab/>
        <w:br/>
        <w:tab/>
        <w:t xml:space="preserve"/>
        <w:tab/>
        <w:br/>
        <w:tab/>
        <w:t xml:space="preserve"> Затова ВКС на РБ, трето г. о.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СПИРА производството по гр. д. №1188/22 г. на трето г. о. на ВКС до постановяване на тълкувателно решение по тълк. дело №4/2021 г. ОСГК.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