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№514/26.11.2025 по ч. нак. д. №1038/2025 на ВКС,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514</w:t>
        <w:tab/>
        <w:br/>
        <w:tab/>
        <w:t xml:space="preserve"/>
        <w:tab/>
        <w:br/>
        <w:tab/>
        <w:t xml:space="preserve"> гр. София, 26.11.2025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шести ноември през две хиляди двадесет и пета година в следния състав: Председател:Невена Грозева</w:t>
        <w:tab/>
        <w:br/>
        <w:tab/>
        <w:t xml:space="preserve"/>
        <w:tab/>
        <w:br/>
        <w:tab/>
        <w:t xml:space="preserve"> Членове:Калин Калпакчиев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частно наказателно дело № 20258003201038 по описа за 2025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ч.х. д. № 208/2025 год. на Районен съд – Гоце Делчев.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Образуваното в РС – Гоце Делчев н. ч.х. д. № 208/2025 г. е с предмет тъжба на Г. Р. срещу Р. М., по обвинение за извършено престъпление по чл. 148, ал. 1, т. 1 и т. 4, вр. с чл. 146, ал. 1 НК.</w:t>
        <w:tab/>
        <w:br/>
        <w:tab/>
        <w:t xml:space="preserve"/>
        <w:tab/>
        <w:br/>
        <w:tab/>
        <w:t xml:space="preserve">Всички съдии са депозирали отводи, мотивирайки се с различни обстоятелства – че имат близки колегиални отношения със защитника на подсъдимия; че са докладчици по други наказателни и граждански дела между страните, което може да породи основателно съмнение в безпристрастността им.</w:t>
        <w:tab/>
        <w:br/>
        <w:tab/>
        <w:t xml:space="preserve"/>
        <w:tab/>
        <w:br/>
        <w:tab/>
        <w:t xml:space="preserve">Поради изложеното е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страните, то следва да бъде разгледано от съд който се намира в най-голяма близост до местоживеенето на страните, а именно РС – Разлог.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ч.х. д. № 208/2025 год. по описа на Районен съд – Гоце Делчев за разглеждане и решаване от Районен съд – Разлог.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Гоце Делчев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