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№3317/25.11.2025 по търг. д. №1114/2025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3317София, 25.11.2025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двадесети ноември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1114/2025 г.</w:t>
        <w:tab/>
        <w:br/>
        <w:tab/>
        <w:t xml:space="preserve"/>
        <w:tab/>
        <w:br/>
        <w:tab/>
        <w:t xml:space="preserve">Съдът констатира, че в предоставения му едноседмичен срок касаторът не е изпълнил указанието за внасяне на държавна такса за разглеждане на касационната жалба, дадено в постановеното по реда на чл. 288 ГПК определение № 2916 от 17.10.2025 г. по настоящото дело. Указанието е надлежно съобщено на 03.11.2025г. чрез пълномощника на касатора – юрисконсулт В. Й., като срокът за изпълнението му е изтекъл на 10.11.2025 г.</w:t>
        <w:tab/>
        <w:br/>
        <w:tab/>
        <w:t xml:space="preserve"/>
        <w:tab/>
        <w:br/>
        <w:tab/>
        <w:t xml:space="preserve">С молба вх. 21032 касаторът е представил документ за заплащане на указаната му такса в размер на 880 лв., видно от който преводът на сумата е извършен на 13.11.2025 г. С оглед обстоятелството, че заплащането на държавната такса е извършено след изтичането на определения от съда срок, съгласно императивната разпоредба на чл. 64, ал. 1 ГПК, същото не следва да бъде взето предвид. Без значение са причините, поради които срокът не е спазен. Те биха били релевантни единствено при подадена молба по чл. 64, ал. 2 ГПК за възстановяване на срок, каквато настоящата не е.</w:t>
        <w:tab/>
        <w:br/>
        <w:tab/>
        <w:t xml:space="preserve"/>
        <w:tab/>
        <w:br/>
        <w:tab/>
        <w:t xml:space="preserve">Поради изложените съображения, касационното производство следва да бъде прекратено.</w:t>
        <w:tab/>
        <w:br/>
        <w:tab/>
        <w:t xml:space="preserve"/>
        <w:tab/>
        <w:br/>
        <w:tab/>
        <w:t xml:space="preserve">Така мотивиран, настоящият състав на Търговска колегия на Върховен касационен съд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ПРЕКРАТЯВА производството по т. д. № 1114/2025 г. по описа на Върховен касационен съд, Търговска колегия, Второ отделение, Трети състав.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състав на Търговска колегия на Върховен касационен съд в едноседмичен срок от съобщението до страните за постановяването му.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