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№50402/29.09.2022 по ч. търг. д. №2559/2019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50402</w:t>
        <w:tab/>
        <w:br/>
        <w:tab/>
        <w:t xml:space="preserve"/>
        <w:tab/>
        <w:br/>
        <w:tab/>
        <w:t xml:space="preserve"> [населено място], 29.09.2022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2559 по описа за 2019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 Образувано е по молба на „ИНТЕЙК“ ЕООД за изменение /допълване/ на определение № 312/12.07.2022 г. по настоящото дело и присъждане на разноски за осъществена адвокатска защита в размер на 200 лв.</w:t>
        <w:tab/>
        <w:br/>
        <w:tab/>
        <w:t xml:space="preserve"/>
        <w:tab/>
        <w:br/>
        <w:tab/>
        <w:t xml:space="preserve"> Ответникът по молбата „Пи Маркет“ ЕООД не ангажира становище.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 вх. № 6187/19.07.2022 г. е подадена от надлежна страна и в срока по чл. 248, ал. 1 ГПК,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определение № 312/12.07.2022 г. по настоящото дело подадената от „Пи Маркет“ ЕООД частна жалба е оставена без разглеждане. Соченият съдебен акт е влязъл в сила. Ответникът по тази жалба „ИНТЕЙК“ ЕООД е подал отговор чрез процесуалният си представител, за което е сторил разноски в доказан размер от 200 лв., които следва да бъдат присъдени.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312/12.07.2022 г. по ч. т. д. № 2559/2019 г. като</w:t>
        <w:tab/>
        <w:br/>
        <w:tab/>
        <w:t xml:space="preserve"/>
        <w:tab/>
        <w:br/>
        <w:tab/>
        <w:t xml:space="preserve">ОСЪЖДА „Пи Маркет“ ЕООД, ЕИК[ЕИК], да заплати на „ИНТЕЙК“ ЕООД, ЕИК[ЕИК], сума в размер на 200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