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88 ОТ 17.12.1982 Г. ПО Н. Д. № 73/1982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Главният прокурор на НРБ е предложил да се издаде тълкувателно решение по приложението на чл. 78а, ал. 3 НК. В предложението се сочи, че при тълкуването и прилагането му има две становища. С едното се приема, че следва да се възстановят или обезпечат само имуществените вреди, които са елемент от състава на престъплението, а според другото да се възстановят или обезпечат всички реално причинени имуществени вреди от престъплението. </w:t>
        <w:tab/>
        <w:br/>
        <w:tab/>
        <w:t xml:space="preserve">Прокурорът поддържа първото становище. </w:t>
        <w:tab/>
        <w:br/>
        <w:tab/>
        <w:t xml:space="preserve">Върховният съд на НРБ, Общо събрание на наказателните колегии, за да се произнесе, съобрази следното: </w:t>
        <w:tab/>
        <w:br/>
        <w:tab/>
        <w:t xml:space="preserve">В чл. 78а, ал. 3 НК не е направено разграничение на видовете имуществени вреди, момент на възникване, начин на определяне и доказване. Следователно законът има пред вид всички вреди, които са реално причинени и са пряка и непосредствена последица на престъплението. В едни случаи те са елемент от състава на имуществените престъпления кражба, грабеж, присвояване, длъжностно присвояване, измама, документна измяна и др. Те са установени по вид и размер със завършване на престъплението. В други случаи, каквито, са престъпленията против личността - телесни повреди, убийства, изнасилване, обида, клевета и др., имуществените вреди не са елемент от състава на престъплението, но са резултат на същото. Те могат да бъдат установени по основание, но размерът им да не е точно установен. В закона затова е предвидено, че освобождаването от наказателна отговорност с налагане на административно наказание глоба може да се постанови не само когато имуществените вреди са възстановени, но и когато тяхното възстановяване е обезпечено. Когато имуществените вреди са елемент от състава на престъплението и са установени по размер, за да се приложи чл. 78а, ал. 3 НК, те трябва да бъдат възстановени напълно. Когато размерът на имуществените вреди не е установен, възстановяването им трябва да бъде обезпечено.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