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№2563/13.03.2025 по адм. д. №674/2025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2563 София, 13.03.2025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февруари две хиляди двадесет и пета година в състав: Председател: ДАНИЕЛА МАВРОДИЕВА Членове: КАЛИНА АРНАУДОВАВЕСЕЛА АНДОНОВА при секретар Маринела Цветанова и с участието на прокурора Ася Петрова изслуша докладваното от съдията Калина Арнаудова по административно дело № 674/2025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Програма „Околна среда“ 2021-2027 г. (ПОС), срещу Решение №5172/28.11.2024 г. по адм. дело №936/2024 г. на Административен съд (АС) – Хасково.</w:t>
        <w:tab/>
        <w:br/>
        <w:tab/>
        <w:t xml:space="preserve">С обжалваното решение съдът е отменил Решение №N-179 от 12.09.2024 г. на ръководителя на УО на ПОС, с което на Община Димитровград, е определена финансова корекция в размер на 5 % от допустимите разходи по Договор №ДОГ-МСП-218 от 24.04.2024 г., с „Феникс гама“ АД, за нередност за нарушение на чл. 59, ал. 2 във вр. с чл. 2, ал. 2 от Закона за обществените поръчки (ЗОП), квалифицирано като нередност по т. 11, б. б)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(Наредбата, загл. изм. – ДВ, бр. 59 от 2024 г.).</w:t>
        <w:tab/>
        <w:br/>
        <w:tab/>
        <w:t xml:space="preserve">Касационният жалбоподател – ръководителят на Управляващия орган на Програма „Околна среда“ 2021-2027 г., счита обжалваното решение за неправилно, постановено в противоречие с материалния закон и необосновано – отменителни основания по чл. 209, т. 3 АПК.</w:t>
        <w:tab/>
        <w:br/>
        <w:tab/>
        <w:t xml:space="preserve">Цитира изводите на първоинстанционния съд, като счита същите за „необосновани и недоказани“. Твърди, че с оглед предмета на обществената поръчка, предаването на отпадъците е възможно единствено при хипотезите на чл. 39, ал. 3, т. 2 и 3 от Закона за управление на отпадъците (ЗУО), поради което и по аргумент от чл. 39, ал. 3, т. 3 ЗУО, възложителят е следвало да предостави възможност в обществената поръчка да участват икономически оператори, които притежават регистрационен документ за събиране и транспортиране на отпадъци, и имат сключен договор с лица, притежаващи разрешение или комплексно разрешително по чл. 35, ал. 1 ЗУО. В този смисъл твърди, че поставеното изискване, изключвайки хипотезата на чл. 39, ал. 3, т. 3 ЗУО, не е съобразено с предмета и сложността на поръчката, тъй като несъмнено на свободния пазар има юридически лица с по-лек регистрационен режим, които могат да изпълнят предмета на поръчката.</w:t>
        <w:tab/>
        <w:br/>
        <w:tab/>
        <w:t xml:space="preserve">Прави искане решението да бъде отменено. Претендира разноски за юрисконсултско възнаграждение, като прави възражение за прекомерност на претендираните от ответника разноски, поради липса на фактическа и правна сложност на делото, позовавайки се на решение на Съда на Европейския съюз (СЕС) от 25.01.2024 г.</w:t>
        <w:tab/>
        <w:br/>
        <w:tab/>
        <w:t xml:space="preserve">Ответникът по касационната жалба – Община Димитровград, счита същата за неоснователна, а обжалваното решение за правилно. Излага подробни възражения по релевираните от касатора доводи.</w:t>
        <w:tab/>
        <w:br/>
        <w:tab/>
        <w:t xml:space="preserve">Прави искане обжалваното решение да бъде оставено в сила. Претендира разноски за двете съдебни инстанции въз основа на представен списък. Ответникът се представлява от адв. М. Белчева, Софийска адвокатска колегия.</w:t>
        <w:tab/>
        <w:br/>
        <w:tab/>
        <w:t xml:space="preserve">Представителят на Върховната касационна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На 03.04.2024 г. г. между УО на ПОС и Община Димитровград е сключен Административен договор №Д-34-25 за предоставяне на безвъзмездна финансова помощ в максимален размер до 16 008 430,91 лева, за изпълнение на проект „За по-чист въздух в Община Димитровград.“</w:t>
        <w:tab/>
        <w:br/>
        <w:tab/>
        <w:t xml:space="preserve">На 15.11.2023 г. с Решение №ОК-10-119, кметът на Община Димитровград е обявил открита процедура за възлагане на обществена поръчка с предмет: „Демонтаж, последващо третиране и предаване за рециклиране на отоплителни устройства на дърва и въглища“.</w:t>
        <w:tab/>
        <w:br/>
        <w:tab/>
        <w:t xml:space="preserve">В предмета на поръчката са включени следните дейности: демонтаж и събиране на отоплителни устройства на дърва/въглища и прилежащи елементи към тях в жилищни имоти на лица, посочени от възложителя; транспортиране на демонтираните отоплителни устройства и прилежащите им елементи до площадка, притежаваща необходимите документи за временно съхранение и оползотворяване с код R12 и R13 от Приложение №2 към 1, т.13 ЗУО; разкомплектоване, разделяне, сортиране на получените метални отпадъци по вид, наименование и код съгласно Наредба №2 за класификация на отпадъците; предаване на сортираните метални отпадъци за последващо оползотворяване с код R4 от Приложение №2 към 1 , т.13 ЗУО; превеждане на получените приходи от предадените метални отпадъци по банкова сметка на възложителя.</w:t>
        <w:tab/>
        <w:br/>
        <w:tab/>
        <w:t xml:space="preserve">В Раздел III.1.1) от Документацията за участие в обществената поръчка „Годност за упражняване на професионалната дейност, включително изисквания във връзка с вписването в професионални или търговски регистри“ са заложени следните изисквания:</w:t>
        <w:tab/>
        <w:br/>
        <w:tab/>
        <w:t xml:space="preserve">1. Участникът трябва да притежава регистрационен документ за дейности с отпадъци, издаден по реда на Глава 5, Раздел II ЗУО във връзка с чл. 35, ал. 3 и ал. 5 ЗУО, за събиране и транспортиране на отпадъци с код 20 01 40, или комплексно разрешително, издадено по реда на Глава седма, Раздел II ЗООС.</w:t>
        <w:tab/>
        <w:br/>
        <w:tab/>
        <w:t xml:space="preserve">2. Участникът трябва да притежава разрешение, издадено по реда на Глава пета, Раздел I ЗУО или комплексно разрешително, издадено по реда на Глава седма, раздел II ЗООС. Разрешението за дейности с отпадъци трябва да е за площадка/и за временно съхраняване и разделяне на отпадък с код 20 01 40 с разрешение за дейности по оползотворяване с код R12 и R13.</w:t>
        <w:tab/>
        <w:br/>
        <w:tab/>
        <w:t xml:space="preserve">Информацията и документите по процедурата са публично достъпни на адрес: https://app.eop.bg/today/336795.</w:t>
        <w:tab/>
        <w:br/>
        <w:tab/>
        <w:t xml:space="preserve">На 24.04.2024 г. между Община Димитровград и „Феникс гама“ АД е сключен Договор, рег.№ДОГ-МСП-218, на стойност 277 919,00 лева без ДДС.</w:t>
        <w:tab/>
        <w:br/>
        <w:tab/>
        <w:t xml:space="preserve">На 02.08.2024 г. ръководителят на УО на ПОС е уведомил Община Димитровград за установена нередност и предстоящо определяне на финансова корекция.</w:t>
        <w:tab/>
        <w:br/>
        <w:tab/>
        <w:t xml:space="preserve">На 12.08.2024 г. Община Димитровград е представила възражение, в което е оспорила констатациите във връзка с установеното нарушение.</w:t>
        <w:tab/>
        <w:br/>
        <w:tab/>
        <w:t xml:space="preserve">На 12.09.2024 г., с Решение №N-179, ръководителят на УО на ПОС, на основание чл. 70, ал. 1, т. 9 и чл. 73 от Закона за управление на средствата от Европейските фондове при споделено управление (ЗУСЕФСУ) е определил на Община Димитровград финансова корекция в размер на 5 % от допустимите разходи по Договор №ДОГ-МСП-218 от 24.04.2024 г., с „Феникс гама“ АД, за нередност за нарушение на чл. 59, ал. 2 във вр. с чл. 2, ал. 2 ЗОП, квалифицирано като нередност по т. 11, б. б) от Приложение № 1 към чл. 2, ал. 1 от Наредбата.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оспореното решение е издадено от компетентен орган, в исканата от закона писмена форма, при спазване на административнопроизводствените правила, но в нарушение на материалния закон.</w:t>
        <w:tab/>
        <w:br/>
        <w:tab/>
        <w:t xml:space="preserve">След подробен анализ на дейностите включени в предмета на процесната процедура, относимата правна уредба и мотивите на обжалваното решение, съдът е приел, че след като за участниците в процедурата е предвидено задължение не само за събиране и транспорт, но и за третиране на събраните отпадъци, а последното е дейност, чието осъществяване съгласно ЗУО може да бъде извършено само от лица, разполагащи със съответно разрешение, то следва, че ограничението е обосновано със специалната регламентация на този вид обществени отношения и от спецификата на обществената поръчка.</w:t>
        <w:tab/>
        <w:br/>
        <w:tab/>
        <w:t xml:space="preserve">По тези съображения първоинстанционният съд е приел, че не е налице нарушение на чл. чл. 59, ал. 2 ЗОП, доколкото, за да съществува нарушение на посочената разпоредба, въведеното изискване не само следва да ограничава участието на лица, в обществената поръчка, но това ограничаване следва да е и необосновано, каквото в случая процесното изискване не е.</w:t>
        <w:tab/>
        <w:br/>
        <w:tab/>
        <w:t xml:space="preserve">Въз основа на това, съдът е направил извод за незаконосъобразност на оспорения акт и го е отменил.</w:t>
        <w:tab/>
        <w:br/>
        <w:tab/>
        <w:t xml:space="preserve">Решението е правилно.</w:t>
        <w:tab/>
        <w:br/>
        <w:tab/>
        <w:t xml:space="preserve">Доводите на касатора за нарушение на материалния закон при постановяване на съдебното решение са свързани с преценката на съда относно приетото за осъществено нарушение на приложимото право, обосноваващо нередност, за която е определена финансова корекция.</w:t>
        <w:tab/>
        <w:br/>
        <w:tab/>
        <w:t xml:space="preserve">Спорът по делото е дали изискването участникът да притежава разрешение, издадено по реда на Глава пета, Раздел I ЗУО или комплексно разрешително, издадено по реда на Глава седма, раздел II ЗООС е ограничително и в нарушение на чл. 59, ал. 2 във вр. с чл. 2, ал. 2 ЗОП.</w:t>
        <w:tab/>
        <w:br/>
        <w:tab/>
        <w:t xml:space="preserve">Административният орган е приел, че предметът на обществената поръчка и нейният обхват могат да бъдат изпълнени и от участници, които притежават регистрационен документ за събиране и транспортиране на отпадъци, които имат сключен договор с лица, притежаващи разрешение или комплексно разрешително по чл. 35, ал. 1 за дейности с ОЧЦМ. Приел е, че по този начин се гарантира изпълнението на всички изисквания на възложителя и задължения на изпълнителя, като за изпълнението на предмета на поръчката не е от значение, дали участникът ще бъде лице по чл. 39, ал. 3, т. 2 или лице по 39, ал. 3, т. 3 ЗУО. Обосновал е извод, че така заложеният критерий за подбор ограничава лицата по чл. 39, ал. 3, т. 3 ЗУО, поради наличие на утежняваща административна процедура.</w:t>
        <w:tab/>
        <w:br/>
        <w:tab/>
        <w:t xml:space="preserve">Тези изводи са неправилни.</w:t>
        <w:tab/>
        <w:br/>
        <w:tab/>
        <w:t xml:space="preserve">Видно от т. 3 от Техническата спецификация, обхватът на поръчката включва:</w:t>
        <w:tab/>
        <w:br/>
        <w:tab/>
        <w:t xml:space="preserve">- Демонтаж и събиране на отоплителни устройства на дърва/въглища и прилежащи елементи към тях в жилищни имоти на лица, посочени от възложителя;</w:t>
        <w:tab/>
        <w:br/>
        <w:tab/>
        <w:t xml:space="preserve">- Транспортиране на демонтираните отоплителни устройства и прилежащите им елементи до площадка, притежаваща необходимите документи за временно съхраняване и оползотворяване с код R12 и R13 от Приложение № 2 към 1, т. 13 от ЗУО;</w:t>
        <w:tab/>
        <w:br/>
        <w:tab/>
        <w:t xml:space="preserve">- Разкомплектоване, разделяне, сортиране на получените метални отпадъци по вид, наименование и код съгласно Наредба № 2 за класификация на отпадъците;</w:t>
        <w:tab/>
        <w:br/>
        <w:tab/>
        <w:t xml:space="preserve">- Предаване на сортираните метални отпадъци за последващо оползотворяване с код R4 от Приложение № 2 към 1, т. 13 от ЗУО;</w:t>
        <w:tab/>
        <w:br/>
        <w:tab/>
        <w:t xml:space="preserve">- Превеждане на получените приходи от предадените метални отпадъци по банкова сметка на възложителя.</w:t>
        <w:tab/>
        <w:br/>
        <w:tab/>
        <w:t xml:space="preserve">Съгласно т. 5 от Техническата спецификация, задълженията на изпълнителя включват: 5.1. Демонтаж и събиране на отоплителните устройства и прилежащи елементи към тях; 5.2. Транспортиране на събраните отоплителни устройства до площадка за последващо третиране; 5.3. Третиране на отпадъците на площадката (разглобяване и разкомплектоване, вкл. с отстраняване на вредни вещества, на доставените отоплителни уреди; разделяне и сортиране по видове черни метали – желязо тънко, желязо дебело, чугун...); 5.4. Предаване на отпадъците от метали за крайно оползотворяване с цел рециклиране.</w:t>
        <w:tab/>
        <w:br/>
        <w:tab/>
        <w:t xml:space="preserve">Съгласно легалната дефиниция, дадена в 1, т. 44 от Допълнителните разпоредби на ЗУО, „третиране на отпадъците“ са дейностите по оползотворяване или обезвреждане, включително подготовката преди оползотворяване или обезвреждане.</w:t>
        <w:tab/>
        <w:br/>
        <w:tab/>
        <w:t xml:space="preserve">Правилни са изводите на първоинстанционния съд, че при възлагането на обществена поръчка възложителят има право да извърши проверка на годността и потенциала на участниците да изпълнят поръчката, използвайки за целта подходящи критерии или условия. Чрез тях по същество се определят минимални изисквания за допустимост на участниците във връзка с участието им в процедурата за възлагане на обществена поръчка, за да прецени възможността на всеки от тях да изпълни точно поръчката, в случай, че бъде избран за изпълнител. При определянето на изискванията възложителят е длъжен да се съобразява със заложените в ЗОП разпоредби, чиято цел е да се гарантира свободната конкуренция, както и равнопоставеността и недопускането на дискриминация. Доколкото оперативната му самостоятелност е ограничена от нормата на чл. 2, ал. 2 ЗОП, възложителят има право да формулира изисквания, които са пряко свързани с предмета на обществената поръчка, тоест абсолютно необходими са за изпълнение на дейностите от предмета на поръчката, посочва съдът.</w:t>
        <w:tab/>
        <w:br/>
        <w:tab/>
        <w:t xml:space="preserve">Видно от цитираните по-горе изисквания на възложителя, за изпълнителя е предвидено задължение не само за събиране и транспортиране, но и за третиране на събраните отпадъци, а последното е дейност, чието осъществяване съгласно ЗУО може да бъде извършено само от лица, разполагащи със съответно разрешение. Следователно ограничението е обосновано със специалната регламентация на този вид обществени отношения, която задава рамката за минималните изисквания, с която възложителят е длъжен да се съобрази, като не може да въведе по-облекчен режим от нормативно определения.</w:t>
        <w:tab/>
        <w:br/>
        <w:tab/>
        <w:t xml:space="preserve">Правилно първоинстанционният съд е приел, че с поставянето на процесното изискване не се ограничава необосновано кръгът на потенциални заинтересовани лица от участие в процедурата, тъй като без изискуемото, разрешение, издадено по реда на Глава пета, Раздел I ЗУО (или комплексно разрешително, издадено по реда на Глава седма, раздел II ЗООС) за конкретните посочени кодове за отпадък и за дейности по оползотворяване, изпълнителят не би могъл да осъществи в цялост заложените в техническата спецификация дейности.</w:t>
        <w:tab/>
        <w:br/>
        <w:tab/>
        <w:t xml:space="preserve">Хипотезата на чл. 39, ал. 3, т. 3 ЗУО, на която се позовава административният орган, допуска облекчен режим само по отношение предаването на отпадъци в случаите по чл. 39, ал. 2 ЗУО, но не и по отношение на тяхното последващо третиране, каквото се изисква от изпълнителя, а по отношение на третирането на отпадъците изискванията на закона са императивни и не е приложим по-облекчен режим.</w:t>
        <w:tab/>
        <w:br/>
        <w:tab/>
        <w:t xml:space="preserve">Като е обосновал извод за незаконосъобразност на оспореното решение на ръководителя на УО на ОПОС и го е отменил,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спора и на основание чл. 143 АПК, съдът следва да осъди Министерството на околната среда и водите – структурата, в която се намира органът-касатор, да заплати на Община Димитровград сумата от 1 300,00 лв., представляваща договорено и заплатено в брой адвокатско възнаграждение за процесуално представителство пред касационната инстанция по договор за правна защита и съдействие от 10.01.2025 г. Искането присъждане на разноски, направени в първоинстанционното производство, е неоснователно. Претендираните от ответника разноски за първоинстанционното производство са му присъдени с обжалваното първоинстанционно решение.</w:t>
        <w:tab/>
        <w:br/>
        <w:tab/>
        <w:t xml:space="preserve">Неоснователно е направеното от ръководителя на УО на ПОС възражение за прекомерност на платеното от Общината адвокатско възнаграждение. Конкретно се твърди, че претендираното адвокатско възнаграждение е прекомерно с оглед фактическата и правна сложност на делото.</w:t>
        <w:tab/>
        <w:br/>
        <w:tab/>
        <w:t xml:space="preserve">В случая, противно на твърденията на касатора, не е налице липса на фактическа и правна сложност на делото. Фактическата сложност е обусловена от доказателствения материал по делото - издаден е административен акт от 12 страници, като част от фактическите установявания на органа се съдържат отделно от него, в уведомлението за нередността. Касае се за установени нарушения на ЗОП, квалифицирани като нередност, за които е определена финансова корекция. В касационното производство е подадена касационна жалба от 11 страници, писмен отговор – 8 страници, страните са подали и допълващи молби. Правната сложност на съдебното производство се обуславя от факта, че нормативната уредба, регулираща процесните материални правоотношения е регламентирана както в правото на Съюза, така и в националното право, като националната нормативна уредба е в различни законови и подзаконови нормативни актове.</w:t>
        <w:tab/>
        <w:br/>
        <w:tab/>
        <w:t xml:space="preserve">С оглед наведените по-горе аргументи на направеното възражение, буди недоумение и фактът, че административният орган претендира юрисконсултско възнаграждение в максимален размер съгласно чл. 24 от Наредбата за заплащането на правната помощ, а същевременно твърди липса на фактическа и правна сложност.</w:t>
        <w:tab/>
        <w:br/>
        <w:tab/>
        <w:t xml:space="preserve">Ето защо, като се вземе предвид действителната фактическа и правна сложност на делото, проявената процесуална активност на страната – Община Димитровград, твърдяната с административния акт нередност и тълкуването дадено в решение от 25.01.2024 г. на СЕС по дело С-438/22, настоящият съдебен състав намира, че претендираното адвокатско възнаграждение не е прекомерно по смисъла на чл. 78, ал. 5 от Гражданския процесуален кодекс (ГПК) във връзка с чл. 144 АПК. Същото е и под минимума предвиден в чл. 7, ал. 2, т. 3 във вр. чл. 8, ал. 1 от Наредба № 1 от 9.07.2004 г. за възнаграждения за адвокатска работа (загл. изм. – ДВ, бр. 14 от 2025 г.).</w:t>
        <w:tab/>
        <w:br/>
        <w:tab/>
        <w:t xml:space="preserve">Водим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№5172 от 28.11.2024 г. по адм. дело №936/2024 г. на Административен съд – Хасково.</w:t>
        <w:tab/>
        <w:br/>
        <w:tab/>
        <w:t xml:space="preserve">ОСЪЖДА Министерството на околната среда и водите, с адрес гр. София, [улица], да заплати на Община Димитровград, с адрес гр. Димитровград, [улица], разноски по делото в размер на 1 300,00 (хиляда и 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