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№9988/20.10.2023 по адм. д. №11412/2022 на ВАС, V о., докладвано от председателя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9988 София, 20.10.2023 г. В ИМЕТО НА НАРОДА</w:t>
        <w:tab/>
        <w:br/>
        <w:tab/>
        <w:t xml:space="preserve">Върховният административен съд на Република България - Пето отделение, в съдебно заседание на дванадесети октомври две хиляди и двадесет и трета година в състав: Председател: ИЛИАНА СЛАВОВСКА Членове: ТИНКА КОСЕВАНЕЛИ ДОНЧЕВА при секретар Мадлен Дукова и с участието на прокурора Веселин Найденов изслуша докладваното от председателя Илиана Славовска по административно дело № 11412/2022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Изпълнителния директор на Национална агенция за приходите /НАП/ чрез процесуален представител срещу решение № 5753 от 12.10.2022 г., постановено по административно дело № 5948/2022 г. на Административен съд – София – град /АССг/, с което е отменено негово решение № 000030/5431/09.06.2022 г., с което е оставено без уважение искането на „Ню Вижън“ ЕООД, представлявано от управителя И. Тенев за възстановяване на платена по сметка на НАП държавна такса по чл. 30, ал. 6 Закона за хазарта /ЗХ/, в размер на 25 000 лв. и преписката е върната за ново произнасяне, съобразно указанията по тълкуването и прилагането на закона, дадени в мотивите на решението. По наведени доводи за неправилност и необоснованост на решението се иска отмяната му като незаконосъобразно и постановено при нарушение на съдопроизводствените правила. Касаторът излага подробни доводи за законосъобразност на издаденото решение – постановяването му в предвидената от закона форма и при спазване на предвидените административнопроизводствени правила. Претендират се сторените по делото разноски за двете инстанции.</w:t>
        <w:tab/>
        <w:br/>
        <w:tab/>
        <w:t xml:space="preserve">Ответникът по касационната жалба – „Ню Вижън“ ЕООД, редовно призовано не изпраща представител и не взема становище по основателността на жалбата.</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Обжалваното решение е валидно и допустимо – постановено е от компетентен съд, в предвидената от закона форма след надлежно сезиране с жалба против административен акт от лице, чиито интереси са засегнати с него. Разгледано по същество е правилно.</w:t>
        <w:tab/>
        <w:br/>
        <w:tab/>
        <w:t xml:space="preserve">Предмет на проверка за законосъобразност пред АССг е било решение № 000030/5431/09.06.2022 г. на изпълнителния директор на НАП, издадено на основание постъпило искане на „Ню Вижън“ ЕООД да му бъдат възстановени преведената по сметка на НАП държавна такса по чл. 30, ал. 6 от Закона за хазарта (ЗХ) в размер на 25 000 лв. като недължимо платена. С диспозитива на решението си изпълнителният директор на НАП е оставил без уважение искането на заявителя за възстановяване на платена държавна такса по чл. 30, ал. 6 ЗХ в размер на 25 000 лв. В мотивите на обжалвания административен акт е посочено, че за издаване на нов лиценз за организиране на хазартни игри с игрални автомати в игрална зала в гр. Хасково, пл. „Свобода“ № 6, по влязло в сила решение № 000030 - 5722/23.11.2021 г. на изпълнителния директор на НАП се дължат в условията на кумулативност следните такси:</w:t>
        <w:tab/>
        <w:br/>
        <w:tab/>
        <w:t xml:space="preserve">1. Държавна такса по чл. 30, ал. 1 ЗХ във връзка с чл. 3, ал. 1, т. 4рот ТТЗХ;</w:t>
        <w:tab/>
        <w:br/>
        <w:tab/>
        <w:t xml:space="preserve">2. Държавна такса по чл. 30, ал. 6 изречение второ ЗХ (в зависимост от срока на издадения лиценз) - 25 000 лв. в хипотезата на срок на лиценза за 5 години.</w:t>
        <w:tab/>
        <w:br/>
        <w:tab/>
        <w:t xml:space="preserve">Прието е, че таксите се дължат на различни основания, изрично регламентирани в ЗХ и Тарифа за таксите, които се събират по ЗХ, така както са различни и критериите за тяхното дефиниране, въвеждането с новите алинеи 5 и 6 на чл. 30 ЗХ на такси за издаване и поддържане на лицензи според критериите "срок на лиценза" и "брой жители в населеното място" по местонахождение на обекта, не изключва дължимостта на таксата по чл. 30, ал. 1 ЗХ.</w:t>
        <w:tab/>
        <w:br/>
        <w:tab/>
        <w:t xml:space="preserve">Първоинстанционният съд, след извършената проверка за законосъобразност приема, че оспореният пред него административен акт е издаден от компетентен орган, при формално спазване на предвидената от закона форма, но при допуснати нарушения на предвидените в закона административнопроизводствени правила, довели до неправилно приложение на материалния закон и неговата цел.</w:t>
        <w:tab/>
        <w:br/>
        <w:tab/>
        <w:t xml:space="preserve">Правилно и законосъобразно първоинстанционния съд тълкува текста на чл. 30, ал. 7 от ЗХ, съгласно който за хазартните игри, които се облагат с алтернативен данък по Закона за корпоративното подоходно облагане /ЗКПО/, се събират само таксите по чл. 30, ал. 1 ЗХ. Този законов текст е под номерацията чл. 30, ал. 7 ЗХ от ДВ бр. 69/2020 г., но съществува със същото съдържание от 01.01.2014 г., като е изменена формулировката и е със същия изказ от 01.01.2015 г., номерирана като чл. 30, ал. 5 ЗХ. Тоест цитираната норма не се явява нова по отношение на заплатените от ответника такси.</w:t>
        <w:tab/>
        <w:br/>
        <w:tab/>
        <w:t xml:space="preserve">Съгласно чл. 30, ал. 7 от ЗХ (ДВ, бр. 69/2020 г., предишна чл. 30, ал. 5 от ЗХ с идентично съдържане след изм. в ДВ, бр. 105 от 2014 г., в сила от 01.01.2015 г.) за хазартните игри, които се облагат с алтернативен данък по ЗКПО, се събират само таксите по чл. 30, ал. 1 от ЗХ. Облагането с алтернативен данък на данъчно задължени лица за извършвани от тях специфични дейности е уредено в Част пета "Алтернативни данъци" от ЗКПО, в която се съдържа Глава "Тридесет и втора", регламентираща данък върху хазартна дейност. Раздел V от тази глава регламентира размер, деклариране и внасяне на данък върху хазартната дейност от игри с игрални автомати и игри в игрално казино. От нормите на ЗКПО следва, че „Ню Вижън“ ЕООД, като организатор на хазартни игри с игрални автомати в игрална зала, е данъчно задължено лице, което дължи този алтернативен данък за конкретната си дейност, т. е. попада в кръга на лицата, които според чл. 30, ал. 7 от ЗХ дължат само таксите, определени в чл. 30, ал. 1 от ЗХ. Правилен е изводът на административния съд, че еднократната такса по чл. 30, ал. 6 от ЗХ за издаване и поддържане на лиценз за игри с игрални автомати със срок на лиценза 5 години в размер на 25 000 лв., внесена от „Ню Вижън“ ЕООД, е недължимо платена по аргумент от чл. 30, ал. 7 от ЗХ, във връзка с Раздел V от Глава "Тридесет и втора" на ЗКПО. Съгласно ал. 6 от същата разпоредба на ЗХ, за издаване и поддържане на лиценз за игри с игрални автомати със срок на лиценза 5 години се събира еднократна държавна такса в размер на 25 000 лв., когато игрите са организирани в населени места до 500 000 жители, и в размер на 50 000 лв., когато игрите са организирани в населени места над 500 000 жители. В чл. 30, ал. 7 ЗХ се предвижда облекчен режим на заплащаните такси за издаване/продължаване на лиценза, като е предвидено, че за хазартните игри, които се облагат с алтернативен данък по Закона за корпоративното подоходно облагане, се събират само таксите по ал. 1. Разпоредбата на алинея 7 от чл. 30 ЗХ е ясна и тя предвижда, че лицата, които се облагат с алтернативен данък по ЗКПО, следва да заплащат такса за издаване/продължаване действието на лиценза, в размер определен единствено по Тарифата за таксите, които се събират по Закона за хазарта. Размерът се определя единствено според броя на игралните места в залата, в която ще се извършва разрешената дейност, и не е обвързан със срока на валидност на лиценза, както е предписано в чл. 30, ал. 6 ЗХ. Доколкото чл. 30, ал. 7 ЗХ е разписал ясно каква е таксата за издаване/продължаване на лиценза за хазартните игри, които се облагат с алтернативен данък по ЗКПО, а именно единствено такава по ал. 1, няма основание да се събира и втора такса по ал. 6, обусловена от срока на валидност на лиценза.</w:t>
        <w:tab/>
        <w:br/>
        <w:tab/>
        <w:t xml:space="preserve">С оспореното пред първоинстанционния съд решение, изпълнителният директор на НАП е отказал да възстанови платена от жалбоподателя по сметка на НАП държавна такса по чл. 30, ал. 6 ЗХ в размер на 25 000 лв. По делото не е спорно, че таксата е платена по сметка на НАП, като основанието за това плащане е записано като чл. 30, ал. 6 ЗХ. Административния съд намира за безспорен и факта, че дружеството се облага с алтернативен данък по ЗКПО. Спорът по делото се свежда до това коя конкретно такса от предвидените в чл. 30 ЗХ дължи дружеството за издаване на лиценз и по-конкретно дължи ли такса по ал. 6 от чл. 30 ЗХ. Настоящият съдебен състав споделя извода на съда, че дружеството като лице, облагащо се с алтернативен данък по ЗКПО, дължи само такса по чл. 30, ал. 1 ЗХ.</w:t>
        <w:tab/>
        <w:br/>
        <w:tab/>
        <w:t xml:space="preserve">Според 86, ал. 1 от ПЗР на ЗИДЗХ образуваните и неприключени до влизането в сила на този закон производства по искания за продължаване или промяна в издаден лиценз, се довършват при досегашните изисквания в 9-месечен срок от влизането в сила на този закон, освен ако този срок е по-кратък от срока, предвиден в закона за произнасяне.</w:t>
        <w:tab/>
        <w:br/>
        <w:tab/>
        <w:t xml:space="preserve">Предвид изложеното, настоящият съдебен състав на ВАС приема, че АССг е постановил правилно, мотивирано и законосъобразно решение, постановено при отсъствие на касационни основания за отмяна и като такова следва да бъде оставено в сила.</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 решение № 5753 от 12.10.2022 г., постановено по административно дело № 5948/2022 г. на Административен съд – София – град.</w:t>
        <w:tab/>
        <w:br/>
        <w:tab/>
        <w:t xml:space="preserve">Решението е окончателно.</w:t>
        <w:tab/>
        <w:br/>
        <w:tab/>
        <w:t xml:space="preserve">Вярно с оригинала,</w:t>
        <w:tab/>
        <w:br/>
        <w:tab/>
        <w:t xml:space="preserve">Председател:</w:t>
        <w:tab/>
        <w:br/>
        <w:tab/>
        <w:t xml:space="preserve">/п/ ИЛИАНА СЛАВОВСКА</w:t>
        <w:tab/>
        <w:br/>
        <w:tab/>
        <w:t xml:space="preserve">секретар:</w:t>
        <w:tab/>
        <w:br/>
        <w:tab/>
        <w:t xml:space="preserve">Членове:</w:t>
        <w:tab/>
        <w:br/>
        <w:tab/>
        <w:t xml:space="preserve">/п/ ТИНКА КОСЕВА/п/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