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№2022/23.02.2023 по адм. д. №11633/2022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2022 София, 23.02.2023 г. В ИМЕТО НА НАРОДА</w:t>
        <w:tab/>
        <w:br/>
        <w:tab/>
        <w:t xml:space="preserve">Върховният административен съд на Република България - Четвърто отделение, в съдебно заседание на тридесети януари две хиляди и двадесет и трета година в състав: Председател: МАРИНИКА ЧЕРНЕВА Членове: ТОДОР ПЕТКОВКРАСИМИР КЪНЧЕВ при секретар Ирена Асенова и с участието на прокурора Никола Невенчин изслуша докладваното от съдията Красимир Кънчев по административно дело № 11633 / 2022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"АК сигнал Бърно" а. с. със седалище в гр.Бърно, Чехия, подадена чрез процесуалния представител адвокат адв. Д. Коцева. Жалбата е срещу решение №924 от 24.11.2022г., постановено от Комисията за защита на конкуренцията /КЗК, Комисията/ по преписка №КЗК-655/2022г. С него е оставена без уважение жалбата на касатора "АК сигнал Бърно" а. с. против решение №F255533/01.09.2022г. на заместник-генералния директор на Държавно предприятие "Национална компания железопътна инфраструктура" (ДП „НКЖИ“) за откриване на процедура за възлагане на обществена поръчка с предмет: "Модернизация на осигурителните системи по трета главна жп линия в участъка Дунавци – Желю войвода" – по обособени позиции, в частта по обособена позиция №1. С касационната жалба се излагат твърдения за неправилност на решението на КЗК поради нарушение на материалния закон и необоснованост – касационни отменителни основания по чл.209, т.3 от АПК. Иска се отмяна на обжалваното решение и произнасяне по същество, като бъде отменено решение №F255533/01.09.2022г. на заместник-генералния директор на ДП „НКЖИ“.</w:t>
        <w:tab/>
        <w:br/>
        <w:tab/>
        <w:t xml:space="preserve">Ответникът – генералният директор на Държавно предприятие "Национална компания железопътна инфраструктура", чрез процесуалния си представител по чл.32, т.3, пр.2 от ГПК - Р. Димитрова, в съдебно заседание и с представени писмени бележки, оспорва жалбата. Моли за нейното отхвърляне и оставяне в сила на обжалваното решение.</w:t>
        <w:tab/>
        <w:br/>
        <w:tab/>
        <w:t xml:space="preserve">Представителят на Върховната административна прокуратура дава мотивирано заключение за неоснователност на жалбата. Счита, че решението на КЗК е правилно и обосновано и не страда от пороци по смисъла на чл.209, т.3 АПК, поради което предлага същото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било образувано по жалба на "АК сигнал Бърно" а. с. срещу решение №F255533/01.09.2022г. на заместник-генералния директор на ДП „НКЖИ“ за откриване на процедура за възлагане на обществена поръчка с предмет: "Модернизация на осигурителните системи по трета главна жп линия в участъка Дунавци – Желю войвода" – по обособени позиции, в частта по обособена позиция №1.</w:t>
        <w:tab/>
        <w:br/>
        <w:tab/>
        <w:t xml:space="preserve">С обжалваното решение КЗК е оставила жалбата без уважение. За да постанови този резултат КЗК е приела, че няма нарушение на чл.59, ал.2 от ЗОП заложеният от възложителя критерий за подбор – за доказване на технически и професионални способности за изпълнение на предмета на поръчката участникът в процедурата да е изпълнил дейности за проектиране и строителство с предмет и обем, идентични или сходни с тези на поръчката, за последните пет години от датата на подаване на офертата за строителство/инженеринг, респективно за последните три години от датата на подаване на офертата - за услугата. Като за целите на поръчката под "строителство идентично или сходно с предмета на поръчката" се разбира: дейности по ново строителство и/или модернизация и/или реконструкция на: Маршрутно-релейна централизация (МРЦ), включващо подмяна на релсови вериги със система броячи на оси, както следва: 1) железопътният участък да обхваща най-малко 6 (шест) жп гари с минимален общ брой инсталирани броячни точки 100 броя; 2) сумарната дължина на железопътния участък трябва да е минимум 30 км.</w:t>
        <w:tab/>
        <w:br/>
        <w:tab/>
        <w:t xml:space="preserve">С обжалваното решение КЗК е счела, че няма нарушение и на чл.48, ал.1 от ЗОП при изготвяне на техническата спецификация на поръчката. В тази насока Комисията е разгледала всички възражения на "АК сигнал Бърно" а. с., подробно ги е обсъдила и е изложила мотиви за тяхната неоснователност.</w:t>
        <w:tab/>
        <w:br/>
        <w:tab/>
        <w:t xml:space="preserve">Изводите на КЗК са правилни и се споделят и от настоящата инстанция.</w:t>
        <w:tab/>
        <w:br/>
        <w:tab/>
        <w:t xml:space="preserve">Според чл.59, ал.2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А съгласно чл.63, ал.1, т.1 от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а) 5 години от датата на подаване на заявлението или на офертата – за строителство; б) три години от датата на подаване на заявлението или на офертата – за доставки и услуги.</w:t>
        <w:tab/>
        <w:br/>
        <w:tab/>
        <w:t xml:space="preserve">В по-предния абзац е посочен какъв е заложеният от възложителя критерий за подбор за доказване на технически и професионални способности за изпълнение на предмета на поръчката. При преценката дали е налице нарушение на чл.59, ал.2 от ЗОП този критерий за подбор следва да се съпостави с предмет на обществената поръчка по обособена позиция №1, открита с оспореното пред КЗК решение на възложителя. Предметът на тази обществената поръчка е "Инженеринг на гарите Казанлък, Гурково, Твърдица, Шивачево, Гавраилово и Желю войвода по трета главна линия, чрез модернизация на съществуващите осигурителни техники". В техническата спецификация, част от документацията за участие, е уточнено, че към момента на откриване на процедурата гарите са съоръжени с маршрутно-релейни централизации тип Н68, като се предвиждат дейности по замяна на съществуващите релсови вериги с нова система пътни датчици - броячи на оси за установяване на заетост/свободност на пътните и стрелкови участъци по текущите пътища, прилежащите коловози. Посочено е също, че броячите на оси трябва да могат да се експлоатират съвместно с подлежащия на модернизация тип гарова централизация (маршрутно - релейни централизации тип Н-68) чрез вграден в тази система интерфейс.</w:t>
        <w:tab/>
        <w:br/>
        <w:tab/>
        <w:t xml:space="preserve">С обжалваното решение КЗК обосновано е приела, че няма нарушение на чл.59, ал.2 от ЗОП, тъй като заложеният от възложителя критерий за подбор е съобразен с предмета, стойността, обема и сложността на поръчката по обособена позиция №1. Противно на доводите на касатора обосновано е поставеното изискване за наличие на специфичен опит именно в изпълнението на дейности по ново строителство и/или модернизация и/или реконструкция на Маршрутно-релейна централизация (МРЦ). Така е, защото откритата процедура за възлагане на обществена поръчка предвижда дейности при наличие на именно по такива маршрутно-релейни централизации тип Н68. Като предвидените дейности по замяна на съществуващите релсови вериги с нова система пътни датчици - броячи на оси, трябва да могат да се експлоатират съвместно със съществуващата маршрутно - релейни централизации тип Н-68. Посочените от касатора Маршрутно-компютърни централизации (МКЦ), въпреки че са от по-висок клас, не гарантират наличието на опит в МРЦ, които следва да се съвместят с дейностите по откритата обществена поръчка. Този извод не се променя с представените в касационното производство "Правила за техническа експлоатация на железопътната инфраструктура на ДП "НКЖИ" /Правилата/. Макар чл.115 от Правилата да разписва, че за МКЦ важат всички изисквания за МРЦ, двете системи са различни, имат различен механизъм на действие, и самите те са разписани и в различни глави от Правилата. В този смисъл опитът в ново строителство и/или модернизация и/или реконструкция на МКЦ би бил полезен в дейностите по откритата обществена поръчка, свързана със съвместяване с МРЦ. Но не гарантира и опит в по-ниския клас МРЦ. И тъй като откритата процедура касае именно МРЦ, то обосновано е заложеното от възложителя изискване за опит в последната.</w:t>
        <w:tab/>
        <w:br/>
        <w:tab/>
        <w:t xml:space="preserve">Неоснователни са възраженията на касатора и относно изискването на възложителя изпълнените дейности да включват най-малко шест гари, 100 броя инсталирани броячни точки и железен участък от 30 км. В случая откритата процедура за възлагане на обществена поръчка включва дейности също на шест гари и инсталиране на 145 броячни точки. Затова е обосновано поставеното изискване на възложителя с предмета, стойността, обема и сложността на поръчката. В този смисъл не може да се сподели възражението на касатора, че тъй като дейностите са еднакви за всяка гара и отделни броячни точки, то е достатъчен и опит за една гара и малко броячни точки. Макар и близки, дейностите по всяка гара и броячна точка не са идентични и включват справяне с различни проблеми за всяка от тях. Освен това не доказват опит при едновременно извършване на дейности в повече от една гара и броячни точки, което е необходимо за срочното и качествено изпълнение на дейностите, включени в обхвата на обществената поръчка. Затова е обоснован изводът на КЗК, че изискваният от възложителя опит показва възможността на участника да се справи със съответния обем дейности качествено и в определения срок. Най-важното обаче е, че коментираният критерий за подбор съотвества в пълна степен на предмета, стойността, обема и сложността на поръчката, поради което няма нарушение на чл.59, ал.2 от ЗОП, както и на чл.2, ал.1 и 2 от ЗОП.</w:t>
        <w:tab/>
        <w:br/>
        <w:tab/>
        <w:t xml:space="preserve">Неоснователни за доводите на касатора за нарушение на чл.48, ал.1 от ЗОП, изразяващо се в неточности и неясноти в техническата спецификация относно посочените в техническата спецификация броячните участъци/точки от МРЦ в гара Казанлък - Нечетна гърловина. Действително в техническата спецификация - Раздел ІІ „Съществуващо положение“, т.2.1 са описани 12 участъка с броячи на оси, но под тях са описани и 6 Коловози - 2П, ЗП, 4П, 5П, 6П, 6 АП. Така общият брой участъци с броячи на оси става 18, каквато бройка е посочена за общо участъци с броячи на оси. Същата технология е използвана от възложителя в техническата спецификация и за другите гари. Единствената разлика е, че за гара Казанлък - Нечетна гърловина, са разменени редовете на „Коловози“ и „Общо: 18 участъка с броячи на оси“, което е недостатъчно да се приеме, че е допуснато нарушение на чл.48, ал.1 от ЗОП. Така е, защото от направеното описание е ясно кои са участъците с броячи на оси, както и че техният брой е 18.</w:t>
        <w:tab/>
        <w:br/>
        <w:tab/>
        <w:t xml:space="preserve">Неоснователни за и възраженията на касатора за нарушение на чл.48, ал.1 от ЗОП, изразяващо се в неяснота дали електрическа бариера в района на гара Казанлък на км.206+300, е включена в обхвата на обществената поръчка. Допуснатата от възложителя неточност е единствено в това, че в раздел I „Общи положения“ от техническата спецификация и в описанието на съществуващото положения за гара Казанлък е посочено, че електрическата бариера е на км 206+440, а в Раздел ІV.„Обхват на поръчката“, т.4.1, е посочено, че тази електрическа бариера е на км.206+300. С обжалваното решение КЗК обосновано е приела, че допуснатото нарушение не е съществено, тъй като за района на гара Казанлък има само една електрическа бариера. При предвидената от възложителя възможност и за оглед на обекта, за участниците в процедурата е ясно, че пресъоръжаването с нова апаратура се отнася за единствения прелез в района на гара Казанлък.</w:t>
        <w:tab/>
        <w:br/>
        <w:tab/>
        <w:t xml:space="preserve">Също са неоснователни възраженията на касатора за противоречие между изискванията към околната среда по отношение на броячите на оси, заложени в техническата спецификация и Техническите изисквания към елементите на железопътната инфраструктура на ДП НКЖИ. Изискванията на възложителя за броячите на оси относно околната среда са посочени в техническата спецификация - т.10 „Изисквания към околната среда“ от раздел V.„Технически изисквания към системите“, „Система за установяване наличието на влак с броячи на оси“. Действително в началото на същия раздел V е поставено изискване броячите на оси да отговарят и на изискванията на Възложителя, специфицирани в „Техническите изисквания към железопътната инфраструктура“. Но това не означава, че параметрите в „Техническите изисквания към железопътната инфраструктура“ са равностойни на изискванията на възложителя, заложени в техническата спецификация. А просто е поставено още едно изискване за съответствие и с параметрите на последния документ. С техническата спецификация възложителят е поставил много по-завишени изискванията към околната среда по отношение на броячите на оси, поради което ако техническото предложение на участника покрива завишените изисквания по техническата спецификация, то ще покрива и по-ниските изисквания от „Техническите изисквания към железопътната инфраструктура“. Това се вижда и от посочените от касатора в касационната му жалба параметри на двата документа, както и от съпоставката на техните параметри. Затова не може да се говори за противоречие между двата документа.</w:t>
        <w:tab/>
        <w:br/>
        <w:tab/>
        <w:t xml:space="preserve">Неоснователни са възраженията на касатора и относно изводите на КЗК в обжалваното решение за липса на съществен порок при откриване на процедурата, свързан с поставени от възложителя технически изисквания за съответствия със стандарти, които са отменени. Действително се установява, че в раздел V.„Технически изисквания към системите“, „Система за установяване наличието на влак с броячи на оси“, в част „Технически изисквания към електрическото захранване на АПУ“ възложителят е поставил изискване акумулаторните батерии да отговарят на изискванията на стандарт BS 6290-4. В Раздел VІII „Технически изисквания към светофорите“ изискване за изолацията между тоководещите части и корпуса на светофорите за стандарт БДС ЕN 60439-1:2002. А в Раздел X „Технически изисквания към електрическото захранване на МРЦ“ Електрическите табла в помещенията на ОТ да бъдат осигурени със защита от повишаване на напрежението и токови удари съгласно IEC 61 643-1:2000-09. Обосновани са доводите на касатора, че тези три стандарта са отменени, което не се и оспорва от ответника генералния директор на ДП „НКЖИ“.</w:t>
        <w:tab/>
        <w:br/>
        <w:tab/>
        <w:t xml:space="preserve">С обжалваното решение КЗК правилно е приела, че позоваване в техническата спецификация на трите отменени стандарти не е съществен порок при откриване на процедурата. Следва да бъдат споделени мотивите на КЗК, че тъй като за визираните стандарти е заложено "или еквивалент", това дава право на участник да използва съответните еквивалентни, актуални към момента на подаване на офертата. Тези изводи следва да бъдат допълнени с разглеждане на обратната хипотези, за която има възражение в касационната жалба – ако участник представи оферта, която отговаря на условията на възложителя по някой/някои от недействащите стандарти. В този случай участникът, въпреки че ще покрие изискванията на възложителя, той следва да бъде отстранен от участие в процедурата, поради предвиденото от възложителя основание за това. А именно – в раздел XII „Технически изисквания системата за компютърно управление и визуализация на МРЦ“, т.5. Образец №2-1, т.2, възложителят е посочил следното: „В случай, че в своето предложение за изпълнение на поръчката участникът е описал технологията за изпълнение на видове СМР или строителни процеси, включени в предмета на поръчката, но която не е в съответствие с действащи стандарти, и/или с изискванията на Възложителя от документацията за участие. той ще бъде предложен за отстраняване от по-нататъшно участие в процедурата“. Или предвидено е основание за отстраняване ако предложението за изпълнение на поръчката на участника не е в съответствие с действащи стандарти, макар то да отговаря на изискванията на възложителя от документацията за участие. Следователно в този случай такъв участник не би получил предимство и не би могъл да бъде избран за изпълнител. Затова, макар да е допуснато нарушение с посочване на изисквания по отменени стандарти, това нарушение не опорочава процедурата и не се отразява на законосъобразността на решението на възложителя като краен резултат.</w:t>
        <w:tab/>
        <w:br/>
        <w:tab/>
        <w:t xml:space="preserve">Неоснователно е оплакването на касатора и относно изискването на възложителя изпълнителят да представи доклад за безопасност на системата по стандарт БДС EN 50129:2004 или еквивалент. Това оплакване всъщност не касае незаконосъобразност на решението на възложителя за откриване на процедурата (в частност на чл.48, ал.1 от ЗОП), респ. за противоречие на това изискване с друго изискване на възложителя, при което участниците да са поставени в положение да не могат да изпълнят едновременно две или повече противоречиви изисквания. Наведеното оплакване е за неяснота на това изискване, която неяснота не може да бъде преодоляна чрез обжалване на решението на възложителя за откриване на процедурата. А преодоляване на твърдяната неяснота е следвало за стане по реда на чл.33, ал.1 от ЗОП – чрез изискване на разяснения от възложителя, което не е направено от касатора. Освен това оплакването за невъзможност за представяне на доклад по стандарт БДС EN 50129:2004 без да са представени от възложителя входните данни за доклада, не изключват възможността за представяне на доклада от спечелилия участник след представяне на входните данни от възложителя.</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основателно се явява искането на ответника за присъждане на юрисконсултско възнаграждение. Затова на основание чл.143, ал.4 от АПК във вр. с чл.78, ал.8 от ГПК във вр. с чл.37, ал.1 от Закона за правната помощ и чл.24 от Наредбата за заплащането на правната помощ, касаторът следва да бъде осъден да заплати на Държавно предприятие "Национална компания железопътна инфраструктура" разноски за юрисконсултско възнаграждение в размер на 200 лева.</w:t>
        <w:tab/>
        <w:br/>
        <w:tab/>
        <w:t xml:space="preserve">Водим от горното и на основание чл.221, ал.2, предложение първо от АПК във вр. с чл.216, ал.6 от ЗОП, Върховният административен съд, четвърто отделение</w:t>
        <w:tab/>
        <w:br/>
        <w:tab/>
        <w:t xml:space="preserve">РЕШИ:</w:t>
        <w:tab/>
        <w:br/>
        <w:tab/>
        <w:t xml:space="preserve">ОСТАВЯ В СИЛА решение №924 от 24.11.2022г., постановено от Комисията за защита на конкуренцията по преписка №КЗК-655/2022г.</w:t>
        <w:tab/>
        <w:br/>
        <w:tab/>
        <w:t xml:space="preserve">ОСЪЖДА "АК сигнал Бърно" а. с., вписано в Търговски регистър, воден от Окръжен съд - Бърно, с идентификационен номер 262 45 507, със седалище ул."Кулкова" №944/26, Маломнержице, 614 00 Бърно, да заплати на Държавно предприятие "Национална компания железопътна инфраструктура" с адрес гр.София, бул."Княгиня Мария Луиза" №110, сумата от 200 (двеста) лева, представляваща разноски за юрисконсултско възнаграждение.</w:t>
        <w:tab/>
        <w:br/>
        <w:tab/>
        <w:t xml:space="preserve">ОСТАВЯ БЕЗ УВАЖЕНИЕ искането на "АК сигнал Бърно" а. с.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