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№2170/01.03.2023 по адм. д. №316/2023 на ВАС, IV о., докладвано от съдия Цветанка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2170 София, 01.03.2023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първи февруари две хиляди и двадесет и трета година в състав: Председател: ДИАНА ГЪРБАТОВА Членове: ВЛАДИМИР ПЪРВАНОВ ЦВЕТАНКА ПАУНОВА при секретар Радка Христова и с участието на прокурора Владимир Йорданов изслуша докладваното от съдията Цветанка Паунова по административно дело № 316 / 2023 г.</w:t>
        <w:tab/>
        <w:br/>
        <w:tab/>
        <w:t xml:space="preserve">Производството е по реда на чл. 216, ал. 1 от Закона за обществените поръчки (ЗОП) във връзка с чл. 208-228 от Административнопроцесуалния кодекс (АПК).</w:t>
        <w:tab/>
        <w:br/>
        <w:tab/>
        <w:t xml:space="preserve">Образувано е по жалба, имаща характер на касационна жалба, подадена от ПАРСЕК ГРУП ЕООД, представлявано от управителя Б. Бонев, чрез пълномощника му адв. Цветков, против решение № 1004 от 08.12.2022г., постановено от Комисията за защита на конкуренцията (КЗК, Комисията) по преписка № КЗК-752/2022г.</w:t>
        <w:tab/>
        <w:br/>
        <w:tab/>
        <w:t xml:space="preserve">В касационната жалба са наведени доводи за неправилност на атакуваното решение на КЗК. По същество се повтарят съображенията, поддържани пред КЗК, че някои от изискванията към участниците в процедурата, които са обявени с утвърдената от възложителя документация за участие, имат ограничителен характер и противоречат на императивни разпоредби на ЗОП. Поддържа се и нарушение на чл. 111, ал. 4 ЗОП. Формулирано е искане за отмяна на обжалваното решение на КЗК и постановяване на друго по същество на спора, с което да бъде отменено решение № F280942/06.10.2022г. на кмета на община Шабла.</w:t>
        <w:tab/>
        <w:br/>
        <w:tab/>
        <w:t xml:space="preserve">Ответникът кметът на община Шабла, чрез пълномощника му адв. Иванов, в съдебно заседание и в представено по делото становище по касационната жалба, развива съображения за нейната неоснователност и моли да бъде отхвърлена.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Като прецени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преклузивния срок, визиран в нормата на чл. 216, ал. 1 ЗОП.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Производството пред КЗК по преписка № КЗК-752/2022г. е образувано по жалба на ПАРСЕК ГРУП ЕООД срещу решение № F280942/06.10.2022г. на кмета на община Шабла за откриване на процедура публично състезание за възлагане на обществена поръчка с предмет: Строително-монтажни работи на обект: Археологически парк Дуранкулак Хаманджия: Консервация и експониране на пещерен храм на Кибела на Големия остров, възстановяване на аварирал участък от укрепително съоръжение и консервация на археологически структури под защитен насип в рамките на изпълнение на проект № ROBG-407 - Възстановяване на уникалното общо културно наследство и насърчаване на съвместния туристически продукт Хаманджия - първа цивилизация на стара Европа, с УИН [номер]в ЦАИС ЕОП.</w:t>
        <w:tab/>
        <w:br/>
        <w:tab/>
        <w:t xml:space="preserve">С обжалваното решение № 1004 от 08.12.2022г. е оставена без уважение жалбата на ПАРСЕК ГРУП ЕООД срещу решение № F280942/06.10.2022г. на кмета на община Шабла; оставено е без уважение искането на ПАРСЕК ГРУП ЕООД за възлагане на направените в производството пред КЗК разноски; възложено е на ПАРСЕК ГРУП ЕООД да заплати на община Шабла разноски в размер на 1700 лв.</w:t>
        <w:tab/>
        <w:br/>
        <w:tab/>
        <w:t xml:space="preserve">За да постанови този резултат, КЗК е приела, че при откриване на процесната възлагателна процедура не са допуснати противоречия с приложимите норми на ЗОП. При извършения фактически и правен анализ Комисията е разгледала всяко едно от възраженията на жалбоподателя и мотивирано ги е отхвърлила като неоснователни. Комисията е приела, че изискването всеки член на обединението, който ще извършва дейности, предвидени в договора за обществена поръчка, за които се изисква регистрация в Централния професионален регистър на строителя (ЦПРС), да бъде вписан в ЦПРС, не противоречи на чл. 2, ал. 2 във вр. с чл. 59, ал. 6 ЗОП. КЗК е отхвърлила и доводите, че възложителят е въвел незаконосъобразни критерии за подбор, като е предвидил определени образователни/професионални квалификации за експерта в екипа за контрол на качеството, както и е ограничил специалностите за ръководителя на екип до Архитектура или Конструкции. Органът по преразглеждането е счел, че посочените изисквания са обосновани и не ограничават конкуренцията. КЗК е разгледала и възражението за нарушение на чл. 111, ал. 4 ЗОП, като е констатирала, че действително в обявлението не е посочена гаранцията, обезпечаваща авансово предоставените средства, но е приела, че това не е съществен порок на процедурата, тъй като тази гаранция е факултативна само в случай че изпълнителят поиска авансова плащане. По така изложените съображения КЗК е приела, че атакуваният акт не страда от релевираните с жалбата пороци, поради което е оставила без уважение жалбата на ПАРСЕК ГРУП ЕООД като неоснователна и недоказана.</w:t>
        <w:tab/>
        <w:br/>
        <w:tab/>
        <w:t xml:space="preserve">Според настоящия съдебен състав обжалваното решение е валидно, допустимо и правилно. При постановяването му не са осъществени нарушения, съставляващи отменителни основания, които налагат отмяната му. Въз основа на цялостно изяснена фактическа и правна обстановка, след задълбочено обсъждане на аргументите на страните и правнорелевантните факти, органът по преразглеждането е произнесъл законосъобразен акт, който следва да бъде оставен в сила.</w:t>
        <w:tab/>
        <w:br/>
        <w:tab/>
        <w:t xml:space="preserve">В касационната жалба се повтарят доводите, поддържани пред Комисията за защита на конкуренцията. На тези доводи КЗК е отговорила подробно и аргументирано, като съображенията й се споделят изцяло от настоящия съдебен състав.</w:t>
        <w:tab/>
        <w:br/>
        <w:tab/>
        <w:t xml:space="preserve">Видно от посоченото в обявлението за поръчката, в Раздел III Правна, икономическа, финансова и техническа информация, т. III.1.1) Годност за упражняване на професионалната дейност, включително изисквания във връзка с вписването в професионални или търговски регистри, възложителят е поставил условие участниците да са вписани в Централния професионален регистър на строителя за изпълнение на строежи от първа група, първа категория съгласно чл. 137, ал. 1, т. 1, б. м ЗУТ недвижими културни ценности с категория национално значение. В случай че участникът участва като обединение/консорциум, такава регистрация трябва да има всеки член на обединението/консорциума, който ще извършва строителни дейности съгласно чл. 3, ал. 3 и 4 ЗКС. Според жалбоподателя посоченото изискване е ограничително, тъй като съобразно предвиденото в чл. 3, ал. 3 ЗКС в тези случаи е достатъчно само един от участниците в обединението, което ще извършва СМР, за които се изисква регистрация, да е вписан в ЦПРС. Правилно в тази връзка КЗК е приела, че възложителят не е извършил нарушение на чл. 2, ал. 2 във вр. с чл. 59, ал. 6 ЗОП във вр. с чл. 3, ал. 3 ЗКС, тъй като, с оглед на формулировката му, спорното изискване препраща по въпроса кой следва да има регистрация в ЦПРС към разпоредбите на чл. 3, ал. 3 и 4 от Закона за камарата на строителите (ЗКС). След анализ на посочените норми, тълкувани във връзка с чл. 3, ал. 2 ЗКС, Комисията е направила обоснован извод, че ако повече от един от членовете на обединението ще извършват дейности в обществената поръчка (съобразно разпределението на участието на лицата при изпълнение на дейностите, предвидено в договора за създаване на обединението), за които се изисква регистрация, то и тези членове на обединението следва да бъдат вписани в ЦПРС. В същото време няма забрана част от членовете в обединението да не са регистрирани в ЦПРС, при условие че последните ще осъществяват строителни дейности, за които не се изисква такава регистрация.</w:t>
        <w:tab/>
        <w:br/>
        <w:tab/>
        <w:t xml:space="preserve">Неоснователни са релевираните в касационната жалба доводи досежно критерия за подбор в Раздел ІІІ.1.3) Технически и професионални възможности от обявлението за поръчка, а именно: участниците да разполагат с Експерт Контрол на качеството, който да притежава професионална квалификация инженер, архитект, строителен инженер или строителен техник (или еквивалент) и валидно удостоверение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или еквивалентна. Твърди се, че в нито един нормативен акт не е предвидено изискване експертът по контрол на качеството да е инженер, архитект или строителен техник, като по този начин възложителят необосновано е стеснил кръга от участници до тези, който разполагат със специалист, притежаващ посочената образователна/професионална квалификация. По същите доводи КЗК законосъобразно е приела, че с посоченото изискване не е нарушена забраната на чл. 2, ал. 2 ЗОП за ограничаване на конкуренцията. По аргумент от чл. 59, ал. 2 ЗОП комисията е приела, че поставените критерии трябва да са съобразени с предмета, стойността, обема и сложността на поръчката, но няма законово ограничение, което да препятства възложителите на обществени поръчки да поставят изисквания, които надвишават нормативно определени минимални изисквания за осъществяването на съответна дейност. КЗК се е позовала и на Решение на СЕС от 31 март 2022 г. по дело С-195/21, съгласно което чл. 58, параграфи 1 и 4 от Директива 2014/24/ЕС на Европейския парламент и на Съвета от 26 февруари 2014 г. за обществените поръчки и за отмяна на Директива 2004/18/ЕО, изменена с Делегиран регламент (ЕС) 2017/2365 на Комисията от 18 декември 2017 г., трябва да се тълкува в смисъл, че допуска възможността в рамките на процедура за възлагане на обществена поръчка възлагащият орган да наложи като критерии за подбор, свързани с техническите и професионалните способности на икономическите оператори, изисквания, които са по-стриктни от минималните изисквания, поставени от националната правна уредба, стига такива изисквания да са необходими, за да се гарантира, че кандидатът или оферентът има техническите и професионалните способности да изпълни възлаганата поръчка, да са свързани с предмета на поръчката и да са пропорционални на този предмет. Във връзка с горното, КЗК е отбелязала, че видно от техническата спецификация, предметът на обществената поръчка е свързан с обект първа категория по чл. 137, ал. 1, т. 1, б. м ЗУТ, имащ статут на архитектурно-строителна недвижима културна ценност с категория национално значение, поради което изпълнителят на обществената поръчка следва да осигури спазване на изискванията на Закона за културното наследство, в частност изискването на чл. 164, ал. 1 ЗКН, както и да изпълни предписанията, дадени в съгласувателно становище на Министерство на културата № 33-НН-912/16.04.2020 г., което е неразделна част от документация за възлагане на обществената поръчка. С оглед спецификата на предмета на обществената поръчка, свързан с извършване на СМР на обект с национално значение, Комисията е достигнала до обоснован извод, че заложеното по-високо изискване към професионалната квалификация на лице от ръководния състав на участника експерт контрол на качеството, е необходимо, за да се гарантира, че участникът има техническите и професионалните способности да изпълни поръчката и безспорно е свързано с предмета на поръчката. Правилно КЗК е счела изискването и за пропорционално, позволяващо участниците да предложат широк кръг от специалисти, както със средно специално образование строителен техник или еквивалент, така и с висше образование, като няма ограничение по отношение на инженерните специалности, нито към образователната им степен /бакалавър/магистър/, с изключение на професионална квалификация архитект, за която се придобива образователна степен магистър. Във връзка с пропорционалността на изискването КЗК правилно е отбелязала, че едно лице може да заеме повече от една позиция в ръководния състав, ако отговаря на изискванията за отделните позиции, напр. едно лице да бъде както технически ръководител на обекта, така и експерт по контрол на качеството, респ. ръководител на обекта и експерт по контрол на качеството. След като е достигнала до обоснован извод, че заложеният от възложителя критерий за подбор е необходим, свързан с предмета на поръчката и пропорционален, Комисията законосъобразно е отхвърлила доводите, че в нарушение на чл. 2, ал. 2 ЗОП с него се ограничава конкуренцията, като необосновано се ограничава участието на стопански субекти в обществените поръчки.</w:t>
        <w:tab/>
        <w:br/>
        <w:tab/>
        <w:t xml:space="preserve">Настоящият състав намира за неоснователни доводите на касационния жалбоподател и по отношение на критерия за подбор в Раздел III.1.3) Технически и професионални възможности от обявлението за поръчка, а именно: Участникът да разполага с Ръководител на обекта - строителен инженер с образователна степен Магистър, със специалност Архитектура или Конструкции или еквивалентна. Касаторът твърди, че възложителят неправилно е ограничил специалностите за ръководителя на обекта до Архитектура или Конструкции, тъй като обектът включва и други, сходни по обем СМР /такива по части Електрическа, Водоснабдяване и канализация, Геодезическа/, видно от количествено-стойностната сметка по поръчката. По същите оплаквания КЗК законосъобразно е приела, че в оперативната самостоятелност на възложителя е да прецени на какви изисквания да отговарят членовете на ръководния състав, включително ръководителят на обекта. Също така са обосновани и изводите на органа по преразглеждането, че определящо за значимостта на отделните видове СМР не е обемът на дейностите, както твърди жалбоподателят, а тяхното естество във връзка с предмета на поръчката. След преглед на количествено-стойностната сметка за обекта и съпоставка на видовете дейности КЗК обосновано е възприела становището на възложителя, че работата по части Архитектура и Конструкции е с преимуществено значение спрямо останалите СМР, включени в предмета на договора. Така в част Архитектура и конструкции са включени дейностите: 1.1. Реконструкция и доизграждане на съществуващия подход към острова, 1.2. Алейна мрежа (пътека) на самия остров, 1.3. и 2.5. Поставяне на погледна/изгледна площадка/, 1.4. Експониране на храма на Кибела, 1.5. Укрепване и реставриране на крепостна стена, 12.3. Поставяне на ограда, 3.1. Разширение на съществуващия Посетителски център. С оглед естеството и значимостта на дейностите по част Архитектура и конструкции, възложителят е предвидил за ръководител на обекта да бъде лице със специалност, свързана именно с тези дейности.</w:t>
        <w:tab/>
        <w:br/>
        <w:tab/>
        <w:t xml:space="preserve">Неоснователни са и доводите на касационния жалбоподател за допуснато съществено нарушение на чл. 111, ал. 4 ЗОП, което не е възприето от КЗК. Съгласно разпоредбата на чл. 111, ал.1 ЗОП възложителят може да изисква от определения изпълнител да предостави гаранции, които да обезпечат изпълнението на договора и/или авансово предоставените средства. Според чл. 111, ал. 4 ЗОП предвидените гаранции и техният процент се посочват в обявлението, с което се оповестява откриването на процедурата, в поканата за потвърждаване на интерес, в поканата за участие в преговори или в обявата. Видно е, че информацията за гаранциите следва да е отразена в обявлението за поръчката. Действително в обявлението за процесната поръчка не е посочена гаранцията, която обезпечава авансово предоставените средства, посочена в документацията и в проекта на договор, но е посочена основната гаранция за изпълнение на договора (Раздел ІІ.2.14 Допълнителна информация от обявлението за поръчката). Съгласно чл. 15, ал. 1 от проекта на договор, в срок до 14 календарни дни след получаване на възлагателно писмо за СМР изпълнителят следва да представи гаранция, която да обезпечи авансово предоставените средства в случай, че поиска авансово плащане. Правилно в тази връзка КЗК е приела, че този пропуск в обявлението, а именно непосочването на гаранцията, обезпечаваща авансово преведените средства, не може да се квалифицира като съществено нарушение при откриване на възлагателната процедура, тъй като гаранцията няма задължителен характер представя се само в случай че изпълнителят поиска авансово плащане. Освен това данни за гаранцията за авансово плащане се съдържат в документацията за участие, публикувана в профила на купувача в деня на публикуване на обявлението, поради което участниците са имали възможност да се запознаят с тази информация и допуснатото нарушение на чл. 111, ал. 4 ЗОП не следва да се приеме за съществено, обуславящо отмяна на решението за откриване на възлагателната процедура.</w:t>
        <w:tab/>
        <w:br/>
        <w:tab/>
        <w:t xml:space="preserve">По изложените съображения настоящият съдебен състав намира, че обжалваното решение не страда от наведените с касационната жалба пороци - отменителни основания по смисъла на чл. 209, т. 3 АПК, поради което следва да бъде оставено в сила.</w:t>
        <w:tab/>
        <w:br/>
        <w:tab/>
        <w:t xml:space="preserve">С оглед изхода на спора и направеното искане от представителя на ответника за присъждане на разноски за заплатено адвокатско възнаграждение, касаторът следва да бъде осъден да заплати на община Шабла сумата от 1 700 за заплатено адвокатско възнаграждение.</w:t>
        <w:tab/>
        <w:br/>
        <w:tab/>
        <w:t xml:space="preserve">Водим от горното и на основание чл. 216 ЗОП във вр. с чл. 221, ал. 2, изр.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1004 от 08.12.2022г., постановено от Комисията за защита на конкуренцията по преписка № КЗК-752/2022г.</w:t>
        <w:tab/>
        <w:br/>
        <w:tab/>
        <w:t xml:space="preserve">ОСЪЖДА ПАРСЕК ГРУП ЕООД [ЕИК] да заплати на община Шабла сумата от 1 700 (хиляда и седемстотин) лева, представляваща разноски, направени в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</w:t>
        <w:tab/>
        <w:br/>
        <w:tab/>
        <w:t xml:space="preserve">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