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№3610/05.04.2023 по адм. д. №548/2023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3610 София, 05.04.2023 г. В ИМЕТО НА НАРОДА</w:t>
        <w:tab/>
        <w:br/>
        <w:tab/>
        <w:t xml:space="preserve">Върховният административен съд на Република България - Осмо отделение, в съдебно заседание на двадесет и втори февруари две хиляди и двадесет и трета година в състав: Председател: МАРИНИКА ЧЕРНЕВА Членове: МИРОСЛАВ МИРЧЕВАЛЕКСАНДЪР МИТРЕВ при секретар Йоана Йорданова и с участието на прокурора Емил Георгиев изслуша докладваното от съдията Александър Митрев по административно дело № 548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ТД Митница Бургас към Агенция „Митници”, чрез процесуалният си представител юрк.Кацарова, против Решение № 1336 от 17.11.2022 г., постановено по адм. дело № 1456/2022 г. по описа на Административен съд – Бургас, с което е отменено Решение № 32-147992/09.05.2022г. на директора на ТД Митница Бургас към Агенция „Митници”.</w:t>
        <w:tab/>
        <w:br/>
        <w:tab/>
        <w:t xml:space="preserve">В касационната жалба се съдържат доводи за неправилност на първоинстанционното решение, поради неправилно приложение на материалния закон и необоснованост, което съставлява отменително касационно основание по чл. 209, т. 3 от АПК. Твърди се, че съдът не е извършил достатъчен анализ на събраните доказателства поотделно и в тяхната съвкупност. Счита, че не са представени документи, които доказват реалната цена на стоката. По подробно изложени в жалбата съображения касаторът моли да се отмени обжалваното решение и да се постанови ново по съществото на спора, с което да се потвърди административния акт. Претендира присъждане на юрисконсултско възнаграждение.</w:t>
        <w:tab/>
        <w:br/>
        <w:tab/>
        <w:t xml:space="preserve">Ответникът по касационната жалба – М. Лукова, не изразява становище.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Бургас е Решение № 32-147992/09.05.2022г. на директора на ТД Митница Бургас към Агенция „Митници”, с което на основание чл. 70, § 1 и § 2 и чл. 71, § 1 буква д) подбуква i i) от Регламент (ЕС) № 952/2013 за стоката, поставена под режим допускане за свободно обращение с МД с MRN 20BG001007016330R2/24.02.2020г., е определена нова митническа стойност в размер на 2 910,47лв.; 2. на основание чл. 85, § 1 от Регламент (ЕС) № 952/2013 г., при прилагане на ставка 10 % за вносно мито, съответстваща на декларирания тарифен код по КН 8703 2390/код по TAPИК 8703 2390 00, спрямо новата митническа стойност е определено вносно митническо задължение в размер на 291,05лв.; 3. на основание чл. 54, ал. 1 от ЗДДС във връзка с чл. 77, § 1, буква а) от Регламент (ЕС) № 952/2013 г. и с чл. 77, § 2 от същия регламент данъчното събитие при внос на стоки възниква и ДДС става изискуем на датата, на която възниква задължението за заплащане на вносни мита, а именно 24.02.2020 г. На основание чл.55, ал.1 от ЗДДС е определена данъчната основа в размер на 3440,38лв. и предвид данъчната ставка от 20 %, съгласно чл. 66, ал. 1, т. 2 от ЗДДС и на основание чл. 67, ал. 1 от същия закон е определено задължението за ДДС при внос по смисъла на чл. 16, ал. 1 от ЗДДС на автомобилите, в размер на 688,08лв., 4. На основание чл. 105. § 3 и § 4 от Регламент (ЕС) № 952/2013 г. и чл. 56 от ЗДДС, във връзка с чл. 105, § 3 и § 4 от Регламент (ЕС) № 952/2013 г. са определени за вземане под отчет и досъбиране вносно мито и ДДС общо в размер на 366,91лв., от които мито в размер на 114,66лв. и ДДС в размер на 252,25лв., ведно със задължение за лихви, считано от 24.02.2020г. до уведомяването на длъжника.</w:t>
        <w:tab/>
        <w:br/>
        <w:tab/>
        <w:t xml:space="preserve">От фактическа страна съдът е приел, че на 24.02.2020г. М. Лукова е подала митническа декларация МД с MRN 20BG001007016330R2/24.02.2020r., с която е декларирала стока за поставяне под митнически режим допускане за свободно обращение - употребяван пътнически автомобил-катастрофирал, марка Форд, модел Фиеста, тип №6/8, брой места 5, с дата на първа регистрация 01.01.2016г.</w:t>
        <w:tab/>
        <w:br/>
        <w:tab/>
        <w:t xml:space="preserve">В митническата декларация за стоката са декларирани съответно: в ел. д. № 5/14 "Код на държавата на изпращане/износ" - САЩ; в ел. д. № 4/1 "Условие на доставка" FOB - Франко борд; в ел. д. № 4/16 "метод за определяне на стойността" - „1 - договорна стойност на внасяните стоки (чл.70 от Кодекса); в ел. д. № 4/14 "Цена на стоката" - 500; в ел. д. № 4/10 "Валута" - USD; в ел. д. № 4/9 "Добавяния и приспадания"- код АК разходи за транспорт, товаро-разтоварни и обработващи операции и разходи за застраховка до мястото на въвеждане на стоките в Европейския съюз-881,96лв., код BA-разходи за транспорт след пристигане на мястото на въвеждане-238, 86лв.</w:t>
        <w:tab/>
        <w:br/>
        <w:tab/>
        <w:t xml:space="preserve">При извършения последващ контрол от страна на митническите органи е анализирана наличната информация за автомобил със същите характеристики и идентичен VIN (номер на шаси), като на електронен сайт www.bidfax.info и www.autoauctions.io била открита информация за обявена продажна цена на аукцион от дата 10.12.2019г. със статус "продаден" (SOLD). Публикуваната продажна цена на същия била в размер на 1150. 00 USD, с оглед на което било прието, че същата превишава декларираната пред митническите органи цена в размер на 500 USD при допускане за свободно обращение.</w:t>
        <w:tab/>
        <w:br/>
        <w:tab/>
        <w:t xml:space="preserve">Във връзка с посочената информация възникнали основателни съмнения относно действителната цена на стоката, както и елементите, които се прибавят към нея при определяне на митническата стойност, поради което на основание чл. 48 от Регламент (ЕС) № 952/2013г. и чл.84, ал.1, т.1отЗМ, с писмо per. №32-244157/29.07.2021 г. били изискани доказателства за потвърждение на декларираната цена, извършените плащания във връзка със стоката /договори, кореспонденция, заявки, поръчки, извлечения от хронологичен счетоводен регистър, първични счетоводни документи както и писмени обяснения/. Постъпил е отговор с рег.№ 32-360696/12.11.2021г., в който жалбоподателката е посочила, че всички налични документи е представила при деклариране на стоката.</w:t>
        <w:tab/>
        <w:br/>
        <w:tab/>
        <w:t xml:space="preserve">С връченото съобщение по чл.22, §6 от Регламент /ЕС/ № 952/2013, обективирано в писмо рег.№ 32-401302/10.12.2021г. (л.38), жалбоподателят е уведомен, че поради възникнали основателни съмнения ще бъде определена нова митническа стойност на декларираната от него стока по митническа декларация MRN 20BG001007016330R2/24.02.2020r. В съобщението е посочено, че това решение е взето с оглед липсата на достатъчно доказателства в подкрепа на декларираната митническа стойност на процесната стока, като са посочени обстоятелствата, породили съмненията в действителността на договорната стойност, както и на елементите, които се прибавят към нея при определяне на митническата стойност.</w:t>
        <w:tab/>
        <w:br/>
        <w:tab/>
        <w:t xml:space="preserve">На 09.05.2022 година директорът на ТД „Митница Бургас“ в АМ издал оспорения административен акт.</w:t>
        <w:tab/>
        <w:br/>
        <w:tab/>
        <w:t xml:space="preserve">Съдът е приел, че административният акт е издаден от компетентен орган, в установената от закона форма, но е незаконосъобразен.</w:t>
        <w:tab/>
        <w:br/>
        <w:tab/>
        <w:t xml:space="preserve">С оглед на така установеното съдът е стигнал до извод, че мотивите на органа и процедирането в контекста на основателни съмнения във връзка с декларираната договорна стойност по чл. 140 от Регламент за изпълнение (ЕС) № 2015/2447 на процесния автомобил е извършено без годни доказателствени източници, които да легитимират релевантните за доказване факти, на които митническата администрация се позовава. Според съда в представената от ответника информация под формата на разпечатки от интернет сайт, не е отразено, че именно Лукова е закупила процесния автомобил за сумата от 1150 USD, освен това информацията, представена под тази форма, не представлява служебна и/или официална такава, за да се разчита на нейната достоверност, респ. да се използва като база данни или за сравнение.</w:t>
        <w:tab/>
        <w:br/>
        <w:tab/>
        <w:t xml:space="preserve">При тези мотиви съдът е отменил решението на митническия орган като незаконосъобразно.</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По законосъобразността на решението:</w:t>
        <w:tab/>
        <w:br/>
        <w:tab/>
        <w:t xml:space="preserve">Решението е правилно.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По делото няма спор за факти, наличните такива, послужили за издаването на оспорения митнически акт, са подробно възпроизведени в мотивите на съдебното решение. От страна на първоинстанционния съд правилно е очертана правната рамка на спора и е направено тълкуване на относимите правни разпоредби.</w:t>
        <w:tab/>
        <w:br/>
        <w:tab/>
        <w:t xml:space="preserve">Безспорно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 1, б. „а“ от Регламент за изпълнение (ЕС) 2015/2447 изрично е предвидено, че в съобщението, упоменато в член 22, §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Извършването на справка на страниците на интернет сайт / каквато де факто е послужила на митническия орган, за да определи новата митническа стойност/ не е нормативно установен метод. Правилен е изводът на съда, че в разпечатките от интернет сайт не е отразено, че именно Лукова е закупила процесния автомобил за сумата от 1150 USD.</w:t>
        <w:tab/>
        <w:br/>
        <w:tab/>
        <w:t xml:space="preserve">След като е стигнал до краен извод за незаконосъобразност на оспореното митническо решение и е отменил същото, Административен съд – Бургас е постановил едно правилно съдебно решение, което не страда от пороците твърдяни в касационната жалба и при условията на чл.221,ал.2 АПК следва да бъде оставено в сила.</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ОСТАВЯ В СИЛА Решение № 1336 от 17.11.2022 г., постановено по адм. дело № 1456/2022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