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№304/03.11.2025 по търг. д. №561/2024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304</w:t>
        <w:tab/>
        <w:br/>
        <w:tab/>
        <w:t xml:space="preserve"/>
        <w:tab/>
        <w:br/>
        <w:tab/>
        <w:t xml:space="preserve">Гр. София, 03.11.2025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тридесети септември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561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„Агенция за събиране на вземания“ ЕАД срещу решение № 452 от 24.11.2023 г. по гр. д. 601/2023 г. по описа на Окръжен съд - Плевен, с което е потвърдено решение № 38 от 20.04.2023 г. по гр. д. 491/2022 г. по описа на Районен съд – Никопол в частта, с която са отхвърлени като неоснователни предявените от „Агенция за събиране на вземания“ ЕАД срещу М. Ц. К. искове с правно основание чл. 422, ал. 1 ГПК, вр. чл. 415, ал. 1 ГПК за признаване за установено, че М. Ц. К. дължи на „Агенция за събиране на вземания“ ЕАД горницата над сумата от 14 052,44 лв. до сумата 15 056,59 лв. - претендирана главница по договор за потребителски паричен кредит № EMLN-17226454 от дата 13.08.2019 г.; сумата 4 622,41 лв. - претендирана договорна лихва за периода от 05.11.2019 г. до 30.06.2022 г., и сумата 4 122,55 лв. - претендирано обезщетение за забава за периода от 06.11.2019 г. до 01.09.2022 г., за които е издадена заповед за изпълнение № 211/14.09.2022 г. по ч. гр. д.№ 391/2022 г. по описа на РС - Никопол, и на основание чл. 38, ал. 2 ЗЗД ищецът „Агенция за събиране на вземания” ЕАД е осъден да заплати на адвокат Д. В. М. от АК - Пловдив адвокатско възнаграждение за процесуално представителство на М. Ц. К. в размер на 1 529,89 лв. с включен ДДС.</w:t>
        <w:tab/>
        <w:br/>
        <w:tab/>
        <w:t xml:space="preserve"/>
        <w:tab/>
        <w:br/>
        <w:tab/>
        <w:t xml:space="preserve">Касаторът поддържа, че обжалваното решение е неправилно предвид постановяването му в нарушение на материалния закон. Оспорва като неправилни изводите на въззивния съд, че процесният договор за потребителски кредит е недействителен. Изтъква, че договорът е сключен при съобразяване изискванията на закона. Счита, че нормите на чл. 11, ал. 1, т. 11 и т. 12 ЗПК не изискват в хипотези като процесната, когато лихвата е фиксирана, погасителният план да съдържа разбивка на всяка погасителна вноска с посочена информация каква част от главницата, лихвата и другите разходи се погасяват със заплащането на всяка вноска. В подкрепа на доводите си се позовава на практиката на СЕС по дело С – 42/15 г. и дело С – 331/18 г. по тълкуване на чл. 10, ал. 2, б. з) – и) от Директива 2008/48/ЕО на ЕП и на Съвета от 23.04.2008 г., имплементирана в Закон за потребителския кредит, съобразно която не се допуска национална уредба, изискваща договорът за кредит да съдържа разбивка на всяка погасителна вноска, която да показва погасяването на главницата, лихвите и другите разходи. Сочи, че решението е постановено в противоречие с практиката на ВКС. По тези доводи моли въззивното решение да бъде отменено и да бъде постановено друго, с което исковете да бъдат уважени в пълните предявени размери. Претендира присъждането на разноски по делото. </w:t>
        <w:tab/>
        <w:br/>
        <w:tab/>
        <w:t xml:space="preserve"/>
        <w:tab/>
        <w:br/>
        <w:tab/>
        <w:t xml:space="preserve">Ответникът по касация, М. Ц. К., оспорва касационната жалба като неоснователна. Излага доводи за правилност на обжалвания съдебен акт. Подробно обосновава заявените с писмения отговор на исковата молба и поддържани в хода на делото възражения, че договорът не отговаря на изискванията на чл. 10, ал. 1 ЗПК и чл. 11, ал. 1 ЗПК за форма и съдържание, поради което е недействителен, евентуално че нищожни като неравноправни са отделни клаузи на договора. Претендира присъждане на разноски по делото. </w:t>
        <w:tab/>
        <w:br/>
        <w:tab/>
        <w:t xml:space="preserve"/>
        <w:tab/>
        <w:br/>
        <w:tab/>
        <w:t xml:space="preserve">С определение № 1167 от 14.04.2025 г. по т. дело № 561/2024 г. ВКС, ТК, състав на Второ отделение, е допуснал касационно обжалване на въззивното решение в обжалваната му част на основание чл. 280, ал. 1, т. 1 ГПК по въпроса: „Трябва ли срочният договор за потребителски кредит, предвиждащ погасяване на главницата чрез последователни вноски, да съдържа подробна разбивка на всяка погасителна вноска, показваща погасяването на главницата и лихвата, изчислена на базата на лихвения процент?“ </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За да постанови обжалвания резултат, въззивният съд се е позовал на законовите разпоредби на чл. 11, ал. 1, т. 11 и т. 12 ЗПК и приел, че договорът за потребителски кредит трябва да съдържа информация за условията за издължаване на кредита от потребителя, включително погасителен план,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 като погасителният план следва да посочва дължимите плащания и сроковете и условията за извършване на тези плащания, да съдържа разбивка на всяка погасителна вноска, показваща погасяването на главницата, лихвата, изчислена на базата на лихвения процент, и когато е приложимо, допълнителните разходи, като когато лихвеният процент не е фиксиран или когато допълнителните разходи могат да бъдат променени съгласно договора за кредит, в погасителния план се посочва ясно, че информацията, съдържаща се в плана, е валидна само до последваща промяна на лихвения процент или на допълнителните разходи съгласно договора за кредит. Споделил е извода на районния съд, че процесният договор за потребителски кредит е недействителен на основание чл. 22 ЗПК, защото от съдържанието му не става ясно как се формира сумата от 323,78 лв., съставляваща размер на месечна погасителна вноска, след като не е посочено в стойността на всяка една месечна погасителна вноска какъв е размерът на главницата, лихвите и допълнителните разходи, респективно процесният договор за потребителски кредит е сключен в нарушение на чл. 11, ал. 1, т. 11 и т. 12 ЗПК, тъй като няма изискуемо по закон съдържание - липсва погасителен план, поради което е налице пълна недействителност (нищожност) на договора. Изтъкнал е, че липсата на законосъобразен и ясен за потребителя погасителен план прави договора за потребителски кредит напълно недействителен, като противоречащ на разпоредбите на чл. 11, ал. 1, т. 11 и т. 12 ЗПК - арг. от разпоредбата на чл. 22 ЗПК, която е приложима за процесното договорно правоотношение.</w:t>
        <w:tab/>
        <w:br/>
        <w:tab/>
        <w:t xml:space="preserve"/>
        <w:tab/>
        <w:br/>
        <w:tab/>
        <w:t xml:space="preserve">Посочил е, че правилно първоинстанционният съд е приложил разпоредбата на чл. 23 ЗПК, че когато договорът за потребителски кредит е обявен за недействителен, потребителят връща само чистата стойност на кредита, но не дължи лихва или други разходи по кредита. Приел е, че от доказателствата по делото се установява, че ответникът е получил заемна сума в размер на 14 700 лв. от уговорената сума от 15 000 лв., и е погасил първите две вноски в размер на 647,56 лв., поради което е счел, че претендираната от ищеца като главница сума за разликата над уважения размер на иска за сумата 14 052,44 лв. до сумата 15 056,59 лв. е недължима. Позовавайки се на нормата на чл. 23 ЗПК, е приел за недължими и претендираните от ищеца суми от 4 622,41 лв. - договорна лихва за периода от 05.11.2019 г. до 30.06.2022 г., и от 4 122,55 лв. - обезщетение за забава за периода от 06.11.2019 г. до 01.09.2022 г. По тези доводи е намерил предявените установителни искове за неоснователни в гореочертаните им части и е потвърдил първоинстанционното решение в обжалваната от ищеца отхвърлителна част.</w:t>
        <w:tab/>
        <w:br/>
        <w:tab/>
        <w:t xml:space="preserve"/>
        <w:tab/>
        <w:br/>
        <w:tab/>
        <w:t xml:space="preserve">По релевирания от касатора правен въпрос са постановени по реда на чл. 290 ГПК решение № 106 от 03.06.2022 г. по гр. д. 3253/2021 г. по описа на ВКС, ГК, III ГО, решение № 50007 от 29.03.2024 г. по т. д. 1023/2022 г. по описа на ВКС, ТК, I TO и решение № 50131 от 06.08.2024 г. по т. д. 1248/2022 г. по описа на ВКС, ТК, I ТO, с които съдебната практика е уеднаквена. Прието е, че не е необходимо при срочен договор за кредит, предвиждащ погасяване на главницата чрез последователни вноски, и когато не са приложими различни лихвени проценти, да се уточнява под формата на погасителен план каква част от съответната вноска е предназначена за погасяването на главницата, лихвите и другите разходи. </w:t>
        <w:tab/>
        <w:br/>
        <w:tab/>
        <w:t xml:space="preserve"/>
        <w:tab/>
        <w:br/>
        <w:tab/>
        <w:t xml:space="preserve">Даденият отговор е обоснован със задължителната за националните съдилища практика на Съда на Европейския съюз по решение от 09.11.2016 г. по дело С – 42/2015 г. и по решение 05.09.2019 г. по дело С – 331/2018 г., с които по отправени преюдициални запитвания е дадено тълкуване на член 10, параграф 2, букви з)—й) от Директива 2008/48/ЕО на Европейския парламент и на Съвета от 23 април 2008 година относно договорите за потребителски кредити и за отмяна на Директива 87/102/ЕИО на Съвета, имплементирана в Закона за потребителския кредит - § 2 от ДР на ЗПК. С цитираните решения Съдът на Европейския съюз е приел, че съгласно чл. 22, параграф 1 от Директива 2008/48, доколкото тя съдържа хармонизирани разпоредби, държавите членки не могат да запазят или въвеждат в националното си право разпоредби, различни от предвидените в тази директива. Намерено е, че член 10, параграф 2 от Директива 2008/48 извършва такава хармонизация, що се отнася до елементите, които задължително трябва да бъдат включени в договора за кредит, поради което член 10, параграф 2, букви з)—й) от Директива 2008/48 във връзка с член 22, параграф 1 от същата директива трябва да се тълкува в смисъл, че не допуска национална правна уредба, съгласно която договорът за кредит трябва да съдържа разбивка на всяка погасителна вноска, която да показва погасяването на главницата, лихвите и другите разходи. Отговорът е обоснован с липсата на въведено с Директивата изискване за посочване под каквато и да е форма в договор за кредит на разбивка на погасителните вноски на потребителя, която да показва погасяването на главницата, ако тя се погасява с тези плащания, лихвите и другите разходи, дължими съгласно този договор, а единствено информация, че при наличие на искане от потребителя, което може да бъде отправено през целия срок на договора, кредитодателят е длъжен безплатно да му предостави извлечение под формата на погасителен план. </w:t>
        <w:tab/>
        <w:br/>
        <w:tab/>
        <w:t xml:space="preserve"/>
        <w:tab/>
        <w:br/>
        <w:tab/>
        <w:t xml:space="preserve">Съгласно постоянната практика на Съда на Европейския съюз тълкуването, което последният дава на норма от правото на Съюза, уточнява и изяснява значението и приложното поле на тази норма, както тя трябва или е трябвало да се разбира и прилага от момента на нейното влизане в сила, като националната юрисдикция трябва да тълкува националното право във възможно най-пълна степен в съответствие с тълкуването на правото на съюза, дадено с решения на СЕС, които на основание чл. 633 ГПК са задължителни за българските съдилища, поради което дадените с горецитираната практика на СЕС разрешения по поставения от касатора правен въпрос, съобразени и в практиката на ВКС по цитираните съдебни решения, изцяло се възприемат от настоящия състав на съда.</w:t>
        <w:tab/>
        <w:br/>
        <w:tab/>
        <w:t xml:space="preserve"/>
        <w:tab/>
        <w:br/>
        <w:tab/>
        <w:t xml:space="preserve">По основателността на касационната жалба: </w:t>
        <w:tab/>
        <w:br/>
        <w:tab/>
        <w:t xml:space="preserve"/>
        <w:tab/>
        <w:br/>
        <w:tab/>
        <w:t xml:space="preserve">Въззивното решение е валидно и допустимо, но неправилно.</w:t>
        <w:tab/>
        <w:br/>
        <w:tab/>
        <w:t xml:space="preserve"/>
        <w:tab/>
        <w:br/>
        <w:tab/>
        <w:t xml:space="preserve">Предвид дадения отговор на правния въпрос, по който е допуснато касационно обжалване, неправилно въззивният съд е приел, че процесният договор за потребителски кредит № EMLN – 17226454 от 13.08.2019 г. е недействителен на основание чл. 22 ЗПК, защото от съдържанието му не ставало ясно как се формира сумата от 323,78 лв., съставляваща размер на месечна погасителна вноска, след като не е посочено в стойността на всяка една месечна погасителна вноска какъв е размерът на главницата, лихвите и допълнителните разходи, респективно че процесният договор за потребителски кредит е сключен в нарушение на чл. 11, ал. 1, т. 11 и т. 12 ЗПК, тъй като няма изискуемо по закон съдържание. </w:t>
        <w:tab/>
        <w:br/>
        <w:tab/>
        <w:t xml:space="preserve"/>
        <w:tab/>
        <w:br/>
        <w:tab/>
        <w:t xml:space="preserve">Видно от съдържанието на договора същият е сключен за срок от 72 месеца и има уговорен лихвен процент за целия срок на договора от 9,68 %, в която хипотеза по вече изложените правни доводи, обосновали дадения отговор на правния въпрос, по който е допуснато касационно обжалване, липсва задължение в договора за кредит да бъде посочено под каквато и да е форма уговорените месечни вноски в размер на 323,78 лв. каква част от дължимите главница, лихви и разноски са предназначени да погасят. </w:t>
        <w:tab/>
        <w:br/>
        <w:tab/>
        <w:t xml:space="preserve"/>
        <w:tab/>
        <w:br/>
        <w:tab/>
        <w:t xml:space="preserve">Въззивният съд е ограничил решаващата си дейност до този неправилен по изложените съображения правен извод за недействителност на процесния договор за кредит на основание чл. 22 ЗПК поради сключването му в нарушение на чл. 11, ал. 1, т. 11 и т. 12 ЗПК, без да обсъди и изложи мотиви по останалите въведени от ответника с писмения отговор на исковата молба и поддържани пред всички инстанции възражения за недействителност на сделката, основани на: липсата на ясно посочване на приложимия към договора лихвен процент и условията за прилагането му – нарушение на чл. 11, ал. 1, т. 9 ЗПК; непосочването на дължимата за периода на действие на договора възнаградителна лихва; липсата на посочен ясно годишен процент на разходите, как последният е формиран – от какви разходи, както и че в нарушение на закона – чл. 19, ал. 1 ЗПК, вр. § 1, т. 1 от ДР на ЗПК в последния не е включена застрахователната премия по сключения в изпълнение на договора за кредит договор за застраховка – нарушение на чл. 11, ал. 1, т. 10 ЗПК; при включване на застрахователната премия като разход по договора за кредит при формиране на ГПР, което според ответника е следвало да бъде сторено, би се нарушила забраната на чл. 19, ал. 4 ЗПК годишният процент на разходите да не е по - висок от пет пъти размера на законната лихва за просрочени задължения в левове и във валута, определена с постановление на Министерския съвет на Република България, както и че поведението на кредитодателя представлява заблуждаваща търговска практика по смисъл на чл. 68д ЗЗП, основание за неравноправност на клаузите; нарушение на изискването на чл. 10, ал. 1 ЗПК всички елементи на договора да се представят в еднакъв по вид, формат и размер шрифт – не по-малък от 12; клаузи на договора са неравноправни и поради липсата на индивидуално договаряне нищожни – чл. 146 ЗЗП. Така въведените от ответника възражения не са обсъдени и от първоинстанционния съд, към чиито мотиви въззивният съд е препратил на основание чл. 272 ГПК. </w:t>
        <w:tab/>
        <w:br/>
        <w:tab/>
        <w:t xml:space="preserve"/>
        <w:tab/>
        <w:br/>
        <w:tab/>
        <w:t xml:space="preserve">По изложените доводи за неправилност на изводите на въззивния съд и за спазване правото на защита на страните въззивното решение следва да бъде отменено и на основание чл. 293, ал. 3 ГПК делото върнато за ново разглеждане от друг състав на Окръжен съд – Плевен, като при новото разглеждане на делото въззивната инстанция следва да се съобрази с указанията на въззивния съд досежно тълкуването на закона и да обсъди всички своевременно релевирани възражения от ответника и доводите на страните във връзка с тях, както и събраните относими и допустими доказателства във връзка със спорните във въззивното производство факти и обстоятелства, по които е недопустимо да се произнася за първи път касационната инстанция. </w:t>
        <w:tab/>
        <w:br/>
        <w:tab/>
        <w:t xml:space="preserve"/>
        <w:tab/>
        <w:br/>
        <w:tab/>
        <w:t xml:space="preserve">Разноски не следва да се присъждат за настоящата инстанция, като същите следва да се определят на основание чл. 294, ал. 2 ГПК от въззивния съд при новото разглеждане на делото с оглед основателността на предявения иск.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452 от 24.11.2023 г. по гр. д. 601/2023 г. по описа на Окръжен съд – Плевен. </w:t>
        <w:tab/>
        <w:br/>
        <w:tab/>
        <w:t xml:space="preserve"/>
        <w:tab/>
        <w:br/>
        <w:tab/>
        <w:t xml:space="preserve">ВРЪЩА делото за ново разглеждане от друг състав на Окръжен съд - Плевен.</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