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CASE OF MIKHALEV AND SAVINOV V. RUSSIA (2022)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ПРОЦЕДУРА</w:t>
        <w:tab/>
        <w:br/>
        <w:tab/>
        <w:t xml:space="preserve">1. Делото е образувано по жалби срещу Русия, подадени в Съда съгласно член 34 от Конвенцията за защита на правата на човека и основните свободи („Конвенцията“) на различните дати, посочени в приложената таблица.</w:t>
        <w:tab/>
        <w:br/>
        <w:tab/>
        <w:t xml:space="preserve">2. Уведомление за жалбите е изпратено на руското правителство („Правителството“).</w:t>
        <w:tab/>
        <w:br/>
        <w:tab/>
        <w:t xml:space="preserve">ФАКТИТЕ</w:t>
        <w:tab/>
        <w:br/>
        <w:tab/>
        <w:t xml:space="preserve">3. Списъкът на жалбоподателите и съответните подробности по жалбите са посочени в приложената таблица.</w:t>
        <w:tab/>
        <w:br/>
        <w:tab/>
        <w:t xml:space="preserve">4. Жалбоподателите твърдят, че не получават адекватни медицински грижи по време на задържане и че няма ефективно средство за защита в това отношение. По жалба № 45095/19 жалбоподателят също така повдига и други оплаквания съгласно разпоредбите на Конвенцията.</w:t>
        <w:tab/>
        <w:br/>
        <w:tab/>
        <w:t xml:space="preserve">ПРАВОТООБЕДИНЯВАНЕ НА ЖАЛБИТЕ</w:t>
        <w:tab/>
        <w:br/>
        <w:tab/>
        <w:t xml:space="preserve">5. Като взема предвид сходния предмет на жалбите, Съдът намира за целесъобразно да ги разгледа съвместно в едно-единствено решение.</w:t>
        <w:tab/>
        <w:br/>
        <w:tab/>
        <w:t xml:space="preserve">ТВЪРДЯНО НАРУШЕНИЕ НА ЧЛЕНОВЕ 3 И 13 ОТ КОНВЕНЦИЯТА</w:t>
        <w:tab/>
        <w:br/>
        <w:tab/>
        <w:t xml:space="preserve">6. Жалбоподателите се оплакват основно, че не им е осигурено адекватно медицинско лечение по време на задържане и че нямат ефективно средство за защита в тази връзка. Те се позовават на членове 3 и 13 от Конвенцията, които гласят следното:</w:t>
        <w:tab/>
        <w:br/>
        <w:tab/>
        <w:t xml:space="preserve">Член 3</w:t>
        <w:tab/>
        <w:br/>
        <w:tab/>
        <w:t xml:space="preserve">„Никой не може да бъде подложен на мъчения или на нечовешко или унизително отношение или наказание.“</w:t>
        <w:tab/>
        <w:br/>
        <w:tab/>
        <w:t xml:space="preserve">Член 13</w:t>
        <w:tab/>
        <w:br/>
        <w:tab/>
        <w:t xml:space="preserve">„Всеки, чиито права и свободи, провъзгласени в тази Конвенция, са нарушени, има право на ефективно средство за защита пред национален орган ...“</w:t>
        <w:tab/>
        <w:br/>
        <w:tab/>
        <w:t xml:space="preserve">7. Съдът отбелязва, че жалбоподателите страдат от сериозни медицински състояния, както е посочено в приложената таблица, които засягат тяхното ежедневно функциониране. Следователно те биха могли да изпитват значително безпокойство относно това дали предоставените им медицински грижи са адекватни.</w:t>
        <w:tab/>
        <w:br/>
        <w:tab/>
        <w:t xml:space="preserve">8. Съдът припомня, че „адекватността“ на медицинската помощ остава най-трудният елемент за определяне (вж. Blokhin срещу Русия [ГК], № 47152/06, § 137, ЕСПЧ 2016). В този контекст той е изяснил, че властите трябва да гарантират, че диагнозата и грижите са своевременни и точни (вж. напр. Pokhlebin срещу Украйна, № 35581/06, § 62, 20 май 2010 г., и Gorbulya срещу Русия, № 31535/09, § 62, 6 март 2014 г.) и че ‒ когато това се налага от естеството на медицинското състояние ‒ наблюдението е редовно и систематично и включва цялостна терапевтична стратегия, насочена към успешно лечение на здравословните проблеми на задържания или предотвратяване на тяхното влошаване (вж. Kolesnikovich срещу Русия, № 44694/13, § 70, 22 март 2016 г., с допълнителни препратки).</w:t>
        <w:tab/>
        <w:br/>
        <w:tab/>
        <w:t xml:space="preserve">9. След като разглежда всички представени му материали, Съдът установява пропуски в медицинското лечение на жалбоподателите, които са изброени в приложената таблица. Съдът вече е установил нарушение по въпроси, сходни с тези в настоящото дело (вж. Blokhin, цитиран по-горе, §§ 120-50; Reshetnyak срещу Русия, № 56027/10, §§ 49-101, 8 януари 2013 г.; и Koryak срещу Русия, № 24677/10, §§ 70-110, 13 ноември 2012 г.). Като има предвид своята съдебна практика по въпроса, Съдът счита, че в настоящото дело жалбоподателите не са получили цялостни и адекватни медицински грижи по време на задържане. Съдът отбелязва още, че жалбоподателите не разполагат с ефективно средство за защита в това отношение.</w:t>
        <w:tab/>
        <w:br/>
        <w:tab/>
        <w:t xml:space="preserve">10. Следователно тези оплаквания са допустими и разкриват нарушение на членове 3 и 13 от Конвенцията.</w:t>
        <w:tab/>
        <w:br/>
        <w:tab/>
        <w:t xml:space="preserve">ДРУГИ ТВЪРДЯНИ НАРУШЕНИЯ СЪГЛАСНО УСТАНОВЕНАТА СЪДЕБНА ПРАКТИКА</w:t>
        <w:tab/>
        <w:br/>
        <w:tab/>
        <w:t xml:space="preserve">11. По жалба № 45095/19 жалбоподателят подава и други оплаквания, които също повдигат въпроси съгласно Конвенцията, предвид съответната утвърдена съдебна практика на Съда (вж. приложената таблица). Тези оплаквания не са явно необосновани по смисъла на член 35 § 3 (а) от Конвенцията, нито са недопустими на каквото и да е друго основание. Съответно, те трябва да бъдат обявени за допустими. След като разглежда всички представени му материали, Съдът заключава, че те също така разкриват нарушения на Конвенцията в светлината на констатациите му по Svinarenko и Slyadnev срещу Русия [ГК], №№ 32541/08 и 43441/08, ЕСПЧ 2014 (откъси), по отношение на поставянето на жалбоподател в метална клетка по време на съдебни заседания, и Maylenskiy срещу Русия, № 12646/15, §§ 28-40, 4 октомври 2016 г., и Klimov срещу Русия, № 54436/14, §§ 41-50, 4 октомври 2016 г., по отношение на неизпълнението от страна на държавата на временната мярка, посочена от Съда съгласно Правило 39 от Правилата на Съда, в нарушение на задължението ѝ по член 34 от Конвенцията.</w:t>
        <w:tab/>
        <w:br/>
        <w:tab/>
        <w:t xml:space="preserve">ПРИЛАГАНЕ НА ЧЛЕН 41 ОТ КОНВЕНЦИЯТА</w:t>
        <w:tab/>
        <w:br/>
        <w:tab/>
        <w:t xml:space="preserve">12. Член 41 от Конвенцията предвижда:</w:t>
        <w:tab/>
        <w:br/>
        <w:tab/>
        <w:t xml:space="preserve">„Ако Съдът установи нарушение на Конвенцията или на протоколите към нея и ако вътрешното право на съответната Високодоговаряща страна позволява само частично обезщетение, Съдът, ако е необходимо, предоставя справедливо обезщетение на ощетената страна.“</w:t>
        <w:tab/>
        <w:br/>
        <w:tab/>
        <w:t xml:space="preserve">13. Като взема предвид документите, с които разполага, и своята съдебна практика (вж. по-специално Tselovalnik срещу Русия, № 28333/13, §§ 70-77, 8 октомври 2015 г., и Kolesnikovich, цитиран по-горе, §§ 82-92), Съдът счита за разумно да присъди сумите, посочени в приложената таблица.</w:t>
        <w:tab/>
        <w:br/>
        <w:tab/>
        <w:t xml:space="preserve">14. Съдът намира за целесъобразно лихвеният процент за забава да се основава на пределния лихвен процент по заеми на Европейската централна банка, към който трябва да се добавят три процентни пункта.</w:t>
        <w:tab/>
        <w:br/>
        <w:tab/>
        <w:t xml:space="preserve">ПО ТЕЗИ ПРИЧИНИ, СЪДЪТ, ЕДИНОДУШНО,</w:t>
        <w:tab/>
        <w:br/>
        <w:tab/>
        <w:t xml:space="preserve">Решава да обедини жалбите;</w:t>
        <w:tab/>
        <w:br/>
        <w:tab/>
        <w:t xml:space="preserve">Обявява жалбите за допустими;</w:t>
        <w:tab/>
        <w:br/>
        <w:tab/>
        <w:t xml:space="preserve">Приема, че тези жалби разкриват нарушение на членове 3 и 13 от Конвенцията поради неадекватните медицински грижи по време на задържане и липсата на ефективно вътрешно средство за защита в това отношение;</w:t>
        <w:tab/>
        <w:br/>
        <w:tab/>
        <w:t xml:space="preserve">Приема, че е налице нарушение на Конвенцията по отношение на другите оплаквания, повдигнати съгласно утвърдената съдебна практика на Съда (вж. приложената таблица);</w:t>
        <w:tab/>
        <w:br/>
        <w:tab/>
        <w:t xml:space="preserve">Приема</w:t>
        <w:tab/>
        <w:br/>
        <w:tab/>
        <w:t xml:space="preserve">че държавата ответник следва да заплати на жалбоподателите в срок от три месеца сумите, посочени в приложената таблица, които да бъдат превалутирани във валутата на държавата ответник по курса, приложим към датата на уреждане;</w:t>
        <w:tab/>
        <w:br/>
        <w:tab/>
        <w:t xml:space="preserve">че от изтичането на горепосочените три месеца до уреждането върху горепосочените суми се дължи проста лихва в размер, равен на пределния лихвен процент по заеми на Европейската централна банка през периода на забава плюс три процентни пункта.</w:t>
        <w:tab/>
        <w:br/>
        <w:tab/>
        <w:t xml:space="preserve">Изготвено на английски език и нотифицирано писмено на 13 октомври 2022 г., съгласно Правило 77 §§ 2 и 3 от Правилата на Съда.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