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№60411/21.12.2021 по ч.гр.д. №5057/2021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60411Върховен касационен съд на Република България, Гражданска колегия, Четвърто отделение в закритото заседание на двадесети декември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 Любка Андоноваразгледа докладваното от съдия Михайлова ч. гр. д. № 5057 по описа за 2021 г.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Образувано е по молба от „МБАЛ - П.“ АД за спиране на изпълнението на решение № 213/17.11.2021 г. по гр. д. № 606/2021 г., с което Окръжен съд - Пазарджик, потвърждавайки решение № 612/14.07.2021 г. по гр. д. №1088/2021 г. на Районен съд - Пазарджик в обжалваната част, е осъдил „МБАЛ - П.“ АД ЕИК да заплати на П. В. Л. ЕГН на основание чл. 213, ал. 2 КТ сумата 40 444 лв. – обезщетение за незаконно недопускане на работа в периода 01.10.2019 г. – 30.11.2020 г., ведно със законната лихва от 26.03.2021 г.</w:t>
        <w:tab/>
        <w:br/>
        <w:tab/>
        <w:t xml:space="preserve"/>
        <w:tab/>
        <w:br/>
        <w:tab/>
        <w:t xml:space="preserve">Настоящият състав намира молбата основателна. Предпоставките по чл. 282, ал. 2, т. 1 ГПК са осъществени, тъй като: 1) „МБАЛ – П.“ АД е подал касационна жалба срещу въззивното решение; 2) спазен е срокът по чл. 283 ГПК; 3) въззивното решение е осъдително, за паричното притезание по чл. 213, ал. 2 КТ за сумата 40 444 лв.; 4) законът допуска възможност за предварително изпълнение на решението (чл. 404, т. 1, пр. 3 ГПК), но изключва суспензивен ефект на касационната жалба (чл. 282, ал. 1 ГПК) и 5) касаторът е извършил надлежно обезпечение в полза на ищеца П. В. Л. (ответник по касация) - по специалната сметка на Върховния касационен съд е внесъл присъдената сума, като размерът на обезпечението определя главницата, но не и присъдените лихви след предявяването на иска и присъдените разноски по делото (т. 1 от ТР № 6/ 23.10.2015 г. по тълк. д. № 6/ 2014 г. ОСГТК на ВКС).</w:t>
        <w:tab/>
        <w:br/>
        <w:tab/>
        <w:t xml:space="preserve"/>
        <w:tab/>
        <w:br/>
        <w:tab/>
        <w:t xml:space="preserve">При тези мотиви, съдътОПРЕДЕЛИ :СПИРА изпълнението на решение № 213/17.11.2021 г. по гр. д. № 606/2021 г. на Окръжен съд - Пазарджик.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