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№1388/20.12.2023 по търг. д. №332/2023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1388</w:t>
        <w:tab/>
        <w:br/>
        <w:tab/>
        <w:t xml:space="preserve"/>
        <w:tab/>
        <w:br/>
        <w:tab/>
        <w:t xml:space="preserve">гр. София, 20.12. 2023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ноември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332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„БНП Париба Пърсънъл Файненс С. А., клон България“, КЧТ, [населено място], на чието място в производството е конституиран правоприемникът „Юробанк България“ АД, [населено място], срещу решение № 1346 от 3.11.2022 г. по в. гр. д. № 1680/2022 г. на Пловдивски окръжен съд, с което е потвърдено решение № 1272 от 14.04.2022 г. по гр. д. № 11650/2021 г. на Пловдивски районен съд, VII състав, в частта, с която е признато за установено по предявените от ищците В. Г. Н. и Д. А. Николова срещу „БНП Париба Пърсънъл Файненс С. А., клон България“, КЧТ искове с правно основание чл. 22 ЗПК, че сключеният между ответника и наследодателката на ищците Д. И. Николова, починала на 17.11.2020 г., договор за потребителски паричен кредит № PLUS16703031/04.01.2019 г. е недействителен на основание чл. 22 ЗПК вр. чл. 10, ал. 1 ЗПК и вр. чл. 11, ал. 1, т. 9 и т. 10 ЗПК.</w:t>
        <w:tab/>
        <w:br/>
        <w:tab/>
        <w:t xml:space="preserve"/>
        <w:tab/>
        <w:br/>
        <w:tab/>
        <w:t xml:space="preserve">Касационният жалбоподател поддържа, че въззивното решение е неправилно поради нарушения на материалния и процесуалния закон и необоснованост. Излага доводи, че в случая е установено, че разликата между размера на шрифта на хартиения екземпляр и размера на шрифта на електронния вариант на процесния договор е по-малък от милиметър, поради което отклонението от изискването на закона е несъществено и не е могло да доведе до въвеждане на потребителя в заблуждение относно съдържанието на договора. Счита, че с оглед справедливото и пропорционално приложение на санкцията по чл. 22 ЗПК съдът следва винаги да извършва преценка дали отклонението от изискването размерът на шрифта в договора за потребителски кредит да не е по-малък от 12 не е твърде незначително с оглед възможността потребителят да прочете съдържанието на договора, както и дали отклонението е неволно в резултат на технически несъвършенства. Оспорва като необоснован извода на въззивния съд, че таксата ангажимент и застрахователната премия не са били включени в ГПР по процесния договор. Моли обжалваното решение да бъде отменено.</w:t>
        <w:tab/>
        <w:br/>
        <w:tab/>
        <w:t xml:space="preserve"/>
        <w:tab/>
        <w:br/>
        <w:tab/>
        <w:t xml:space="preserve">Допускането на касационно обжалване основава на предпоставките по чл. 280, ал. 1, т. 3 и ал. 2, пр. 3 ГПК. В изложението по чл. 284, ал. 3, т. 1 ГПК касаторът поставя въпроса „Възможно ли е санкцията, предвидена в чл. 22 ЗПК да не бъде приложена, в случай че отклонението от изискването на чл. 10, ал. 1 ЗПК за размер на шрифта на договора за потребителски кредит не по-малко от 12, е толкова незначително, че не е попречило на потребителя да се запознае безпрепятствено с пълното съдържание на споразумението?“ По отношение на въведения въпрос твърди, че е от значение за точното прилагане на закона и за развитието на правото, поради което е налице основанието за достъп до касация по чл. 280, ал. 1, т. 3 ГПК. Излага доводи, че въззивният акт е очевидно неправилен.</w:t>
        <w:tab/>
        <w:br/>
        <w:tab/>
        <w:t xml:space="preserve"/>
        <w:tab/>
        <w:br/>
        <w:tab/>
        <w:t xml:space="preserve">Ответниците по касационната жалба В. Г. Н. и Д. А. Николова са депозирали отговор на касационната жалба, в който изразяват становище, че не са налице основания за допускане на касационно обжалване на въззивното решение и за неоснователност на касационната жалба.</w:t>
        <w:tab/>
        <w:br/>
        <w:tab/>
        <w:t xml:space="preserve"/>
        <w:tab/>
        <w:br/>
        <w:tab/>
        <w:t xml:space="preserve">Върховният касационен съд, Търговска колегия, Първо отделение, като извърши преценка за съществуване на предпоставките по чл. 280, ал. 1, т. 3 и ал. 2, пр. 3ГПК,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въззивното решение, предмет на обжалване, Пловдивски окръжен съд е приел, че на 04.01.2019 г. е сключен процесният договор за потребителски кредит, издаване и ползване на кредитна карта между наследодателката на ищците Д. И. Николова и „БНП Париба Пърсънъл Файненс С. А., клон България“, въз основа на който на кредитополучателката е предоставена сумата от 6000 лева, при лихвен процент 27, 53%, ГПР - 34, 19%, месечна погасителна вноска – 238, 95 лева за 48 месеца и такса ангажимент - 210 лв., както и застрахователна премия от 1612 лв. Посочено е, че общият размер на плащанията по договора е 11469, 60 лв., като кредитополучателят заплаща и такса ангажимент при усвояване на кредита, а кредиторът удържа сумата, посочена в поле „Такса ангажимент“ от общия размер на кредита. </w:t>
        <w:tab/>
        <w:br/>
        <w:tab/>
        <w:t xml:space="preserve"/>
        <w:tab/>
        <w:br/>
        <w:tab/>
        <w:t xml:space="preserve">Въз основа на приетото в първоинстанционното производство заключение на съдебно-техническа експертиза е установено, че използваният в процесния договор шрифт е серифен от семейството „Г.“ (Garamond), като някъде е удебелен /получер/ и навсякъде в документите размерът на шрифта е установен на 11, 5 pt.</w:t>
        <w:tab/>
        <w:br/>
        <w:tab/>
        <w:t xml:space="preserve"/>
        <w:tab/>
        <w:br/>
        <w:tab/>
        <w:t xml:space="preserve">Въззивният съд, след цялостен анализ на фактическия и доказателствен материал, е направил извод, че в случая не са спазени императивните изисквания на чл. 10, ал. 1 и на чл. 11, т. 10 ЗПК. Посочил е, че съгласно разпоредбата на чл. 22 ЗПК когато не са спазени изискванията на чл. 10, ал. 1 и чл. 11, ал. 1, т. 10 ЗПК, договорът за потребителски кредит е недействителен. Приел е, че в случая е установено несъответствие на процесния договор с изискването на ЗПК относно изготвянето на договора на шрифт не по-малък от 12, както и с изискването на същия закон ГПР да отразява действителните разходи по кредита и общата дължима сума от потребителя съгласно чл. 19, ал. 1 ЗПК поради невключване на разходите за такса ангажимент от 210 лева и застрахователната премия от 1612, 80 лева. Изтъкнал е, че за да бъде спазена разпоредбата на чл. 11, ал. 1, т. 10 ЗПК, в договора за потребителски кредит следва да се отрази не само цифрово какъв годишен процент от общия размер на предоставения кредит представлява годишният процент на разходите, но и изчерпателно да се изброят всички разходи, които длъжникът ще прави, отчетени при формиране на годишния процент на разходите. </w:t>
        <w:tab/>
        <w:br/>
        <w:tab/>
        <w:t xml:space="preserve"/>
        <w:tab/>
        <w:br/>
        <w:tab/>
        <w:t xml:space="preserve">Във въззивния акт са изложени съображения, че в настоящия случай оригиналът на процесния договор е изготвен в писмена форма, на хартиен носител и по отношение на този документ следва да бъдат спазени императивните изисквания на закона, вкл. относно вид, формат и размер на шрифта, поради което доводите на въззивника кредитор относно размера на шрифта на електронния вариант на документа са без значение за дължимата преценка за спазване на изискванията на ЗПК. </w:t>
        <w:tab/>
        <w:br/>
        <w:tab/>
        <w:t xml:space="preserve"/>
        <w:tab/>
        <w:br/>
        <w:tab/>
        <w:t xml:space="preserve">Решаващият състав на въззивния съд е изтъкнал, че чл. 10, § 1 от Директива 2008/48/ЕО на Европейския парламент и Съвета от 23.04.2008г. относно договорите за потребителски кредити и за отмяна на Директива 87/102/ЕИО на Съвета изисква договорите за потребителски кредит да се изготвят на хартиен или друг траен носител, като извън въведеното с Директивата изискване за форма „на хартиен или друг траен носител“ държавите членки не са ограничени да поставят допълнителни условия за действителност на договора. Съдът е изразил разбиране, че правилото на чл. 10, ал. 1 ЗПК, в сила от 23.07.2014 г., предвиждащо изискване за размер на шрифта, се допуска от Директивата и страните са били задължени да сключат договора в съответствие с него. Направено е и позоваване на практика на СЕС във връзка с въведеното от националния законодател предписание досежно шрифта на потребителския договор, а именно на определение от 14.04.2021 г. по дело С-535/20.</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Настоящият състав на ВКС намира, че поставеният в изложението по чл. 284, ал. 3, т. 1 ГПК на касационния жалбоподател въпрос е обуславящ за изхода на спора, поради което е налице общото основание за допускане на касационно обжалване по чл. 280, ал. 1 ГПК. Във въззивното решение е прието, че в случая е налице неспазване на изискването по чл. 10, ал. 1 ЗПК досежно размера на шрифта на договора за потребителски кредит, което представлява самостоятелно основание за обявяване недействителността на договора по чл. 22 ЗПК. Не е осъществено обаче допълнителното основание по чл. 280, ал. 1, т. 3 ГПК за достъп до касация. Съгласно т. 4 на Тълкувателно решение № 1/19. 02. 2010 г. по тълк. д. № 1/2009 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w:t>
        <w:tab/>
        <w:br/>
        <w:tab/>
        <w:t xml:space="preserve"/>
        <w:tab/>
        <w:br/>
        <w:tab/>
        <w:t xml:space="preserve">В настоящия случай не би могло да се приеме, че е обоснована някоя от посочените форми на основанието по чл. 280, ал. 1, т. 3 ГПК. Съгласно разпоредбата на чл. 22 ЗПК когато не са спазени изискванията на чл. 10, ал. 1 ЗПК, а именно договорът за потребителски кредит да е сключен в писмена форма, на хартиен или друг траен носител, по ясен и разбираем начин, като всички елементи на договора се представят с еднакъв по вид, формат и размер шрифт – не по-малък от 12, в два екземпляра – по един за всяка от страните по договора, договорът за потребителски кредит е недействителен. Според чл. 23 ЗПК когато договорът за потребителски кредит е обявен за недействителен, потребителят връща само чистата стойност на кредита, но не дължи лихва и други разходи по кредита. Неспазването на изрично уредените изисквания, между които е отклонение от шрифт 12 надолу, води по силата на чл. 22 ЗПК до недействителност на целия договор с последиците по чл. 23 ЗПК. От посочената ясна уредба с императивен характер относно санкцията при несъблюдаването на изискването досежно размера на шрифта, а именно недействителност на целия договор, следва пряко и отрицателният отговор на поставения от касатора въпрос. По въпроса, че размерът на шрифта, установен в чл. 10, ал. 1 ЗПК, е от значение за действителността на договора за потребителски кредит е налице и формирана практика на ВКС, обективирана в решение № 50206 от 25.11.2022 г. по гр. д. № 3578/2020 г., ІІІ г. о. и решение № 50162 от 10.01.2023 г. по т. д. № 550/2022 г., ІІ т. о.</w:t>
        <w:tab/>
        <w:br/>
        <w:tab/>
        <w:t xml:space="preserve"/>
        <w:tab/>
        <w:br/>
        <w:tab/>
        <w:t xml:space="preserve">С оглед тезата на касатора следва да се посочи, че съгласно чл. 23 и съображение 47 от Директива 2008/48/ЕО на Европейския парламент и на Съвета от 23 април 2008 г. относно договорите за потребителски кредити и за отмяна на Директива 87/102/ЕИО на Съвета /Директива 2008/48/ държавите членки установяват система от санкции за нарушаване на националните разпоредби, приети съгласно Директивата, и вземат всички необходими мерки за гарантирано прилагане на тези санкции, като предвидените санкции следва да бъдат ефективни, пропорционални и възпиращи. Именно в съответствие с цитираните разпоредба и съображение съгласно ЗПК – законът, с който се въвеждат разпоредбите на Директива 2008/48, нарушението на предписанието досежно размера на шрифта води до недействителност на договора за потребителски кредит и за него кредиторът се санкционира с лишаване от лихвите и другите разходи по кредита /чл. 23 ЗПК/. В решение по дело С-42/15, на което се позовава касаторът в изложението, СЕС дава тълкуването, че за неизпълнението на изискване, имащо съществено значение в контекста на Директива 2008/48, кредитодателят може да бъде санкциониран съгласно националната правна уредба със загубата на правото си на лихви и разноски. С Определение на Съда на Европейските общности /шести състав/ от 14.04.2021 г. по дело С-535/2020 е прието, че член 10, параграф 2 и член 22, параграф 1 от Директива 2008/48/ЕО на Европейския парламент и на Съвета от 23.04.2008 година относно договорите за потребителски кредити и за отмяна на Директива 87/102/ЕИО на Съвета трябва да се тълкуват в смисъл, че допускат национална правна уредба, която налага всички елементи на договор за потребителски кредит да бъдат представени с еднакъв по вид, формат и размер шрифт – не по-малък от 12. Изяснено е, че доколкото в Директива 2008/48 не се определят подробно форматът и размерът на шрифта, с които информацията относно условията на договора и последиците от сключването му трябва да бъде предоставена на длъжника при сключването на договор за потребителски кредит, държавите членки остават по принцип компетентни да установят правила както относно конкретната форма на представяне на тази информация, така и относно последиците от неспазването от страна на търговците, при условие че тези правила допринасят за представянето на посочената в член 10, параграф 2 от Директивата информация по ясен и кратък начин; уредбата в ЗПК, която налага всички елементи на договор за потребителски кредит да бъдат представени с еднакъв по вид, формат и размер шрифт – не по-малък от 12, е преценена от СЕС като гарантираща, че информацията ще бъде представена прозрачно и четливо, както и като възпрепятстваща използването на дребен шрифт, който би могъл да породи опасността важна информация към момента на сключване на договора и по време на неговото изпълнение да бъде пропусната от съответния потребител. Изтъкнато е, че уредбата в ЗПК се ограничава да предвиди правила относно формата, в която трябва да се представи информацията, и не налага задължения за предоставяне на допълнителна информация извън хармонизирано установената в член 10, параграф 2 от Директива 2008/48. Посоченото тълкуване на СЕС, направено по повод преюдициално запитване във връзка с въведеното с изменението на чл. 10, ал. 1 ЗПК, в сила от 23. 07. 2014 г., изискване по отношение на размера на шрифта и при отчитане последиците от неспазването му /недействителност на договора съгласно чл. 22 ЗПК/, има задължителен характер по силата на чл. 633 ГПК, като в случая въззивният съд се е съобразил изцяло с това тълкуване и е направил изрично позоваване на акта на СЕС в обжалваното решение.</w:t>
        <w:tab/>
        <w:br/>
        <w:tab/>
        <w:t xml:space="preserve"/>
        <w:tab/>
        <w:br/>
        <w:tab/>
        <w:t xml:space="preserve">По всички изложени съображения настоящият състав приема, че не е налице въведеното от касатора основание за достъп до касация по чл. 280, ал. 1, т. 3 ГПК.</w:t>
        <w:tab/>
        <w:br/>
        <w:tab/>
        <w:t xml:space="preserve"/>
        <w:tab/>
        <w:br/>
        <w:tab/>
        <w:t xml:space="preserve">В случая не се е осъществило и основанието по чл. 280, ал. 2, пр. 3 ГПК за допускане на касационно обжалване – очевидна неправилност на атакувания съдебен акт. Очевидната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по-горе пороци. Това следва и от обстоятелството, че касаторът не аргументира предпоставката по чл. 280, ал. 2, пр. 3 ГПК отделно от касационните си доводи, че въззивният съд необосновано, без да назначи съдебно-счетоводна експертиза, е приел, че таксата ангажимент и застрахователната премия не са били включени в ГПР по процесния кредит. Очевидната неправилност е основание за достъп до касация, което не е тъждествено с касационните основания по чл. 281, т. 3 ГПК и следва да бъде надлежно обосновано.</w:t>
        <w:tab/>
        <w:br/>
        <w:tab/>
        <w:t xml:space="preserve"/>
        <w:tab/>
        <w:br/>
        <w:tab/>
        <w:t xml:space="preserve">С оглед изложеното касационното обжалване на въззивното решение на Пловдивски окръжен съд не се допуска.</w:t>
        <w:tab/>
        <w:br/>
        <w:tab/>
        <w:t xml:space="preserve"/>
        <w:tab/>
        <w:br/>
        <w:tab/>
        <w:t xml:space="preserve">Изходът на производството по чл. 288 ГПК налага касаторът да бъде осъден да заплати на процесуалния представител на ответниците по касация адвокат С. Ж. Паров сумата от 1074, 19 лв. адвокатско възнаграждение за осъщественото безплатно представителство пред ВКС, определено от съда на основание чл. 38, ал. 2 вр. ал. 1, т. 3 ЗЗД и чл. 9, ал. 3 вр. чл. 7, ал. 2, т. 2 от Наредба № 1/2004 г. за минималните размери на адвокатските възнаграждения.</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1346 от 3.11.2022 г. по в. гр. д. № 1680/2022 г. на Пловдивски окръжен съд.</w:t>
        <w:tab/>
        <w:br/>
        <w:tab/>
        <w:t xml:space="preserve"/>
        <w:tab/>
        <w:br/>
        <w:tab/>
        <w:t xml:space="preserve">ОСЪЖДА „Юробанк България“ АД, ЕИК[ЕИК], със седалище и адрес на управление [населено място], [улица] да заплати на адвокат С. Ж. Паров, ПАК, с адрес [населено място], пл. Съединение № 3, ет. 4, офис 411 сумата от 1074, 19 лв. /хиляда седемдесет и четири лева и 19 ст./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