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№32/09.01.2024 по търг. д. №375/2023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32</w:t>
        <w:tab/>
        <w:br/>
        <w:tab/>
        <w:t xml:space="preserve"/>
        <w:tab/>
        <w:br/>
        <w:tab/>
        <w:t xml:space="preserve"> гр. София, 21.12.2023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4-ТИ СЪСТАВ, в публично заседание на двадесет и шести септември през две хиляди двадесет и трета година в следния състав: Председател:Костадинка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 при участието на секретаря Лилия Ст. Златкова</w:t>
        <w:tab/>
        <w:br/>
        <w:tab/>
        <w:t xml:space="preserve"/>
        <w:tab/>
        <w:br/>
        <w:tab/>
        <w:t xml:space="preserve">като разгледа докладваното от Костадинка Недкова Касационно търговско дело № 20238002900375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303, ал.1, т.4 ГПК.</w:t>
        <w:tab/>
        <w:br/>
        <w:tab/>
        <w:t xml:space="preserve"/>
        <w:tab/>
        <w:br/>
        <w:tab/>
        <w:t xml:space="preserve">Образувано е по молба на Н. Щ. Б., уточнена с молба от 17.08.2022г., за отмяна на въззивно решение № 12336/17.11.2020г. по т. д. № 6051/2019г. на Апелативен съд – София, в частта, с която е потвърдено решение от 05.07.2019г., поправено по реда на чл. 247 ГПК с решение № 1645/20.09.2019г., постановени по т. д. № 3394/2017г. на Софийски градски съд, в частта, с която искът на молителя Н. Божков по чл.125, ал.3 ТЗ срещу „БГ Мебел Компания“ ООД е отхвърлен за разликата от 15 421,01 лева до 309 450 лева.</w:t>
        <w:tab/>
        <w:br/>
        <w:tab/>
        <w:t xml:space="preserve"/>
        <w:tab/>
        <w:br/>
        <w:tab/>
        <w:t xml:space="preserve">Молителят поддържа, че са налице две влезли в сила преди завършване на касационното производство решения - по гр. д. № 681/2021г. и по гр. д. № 7895/2020г. на СГС, постановени с участието на същите страни, като молителят е привлечен като трето лице помагач на страната на ищеца. Счита, че тези решения „оказват пряко преразпределително въздействие върху правната сфера на страните и по-точно върху баланса на дружеството, който е основният предмет на спора по чл.125, ал.3 ТЗ“ по постановеното решение, чиято отмяна се търси. Твърди се, че решенията доказват липсата на вина на Божинов като бивш управител и неоснователността на възражението за прихващане.</w:t>
        <w:tab/>
        <w:br/>
        <w:tab/>
        <w:t xml:space="preserve"/>
        <w:tab/>
        <w:br/>
        <w:tab/>
        <w:t xml:space="preserve">Ответникът по делото, „БГ Мебел компания“ ООД, изразява становище за неоснователност на молбата. Иска присъждане на разноските по делото Молбата е допустима, но неоснователна.</w:t>
        <w:tab/>
        <w:br/>
        <w:tab/>
        <w:t xml:space="preserve"/>
        <w:tab/>
        <w:br/>
        <w:tab/>
        <w:t xml:space="preserve">В т.13 от ППВС № 2/1997г. е разяснено, че съдът не е обвързан от правната формулировка на заявеното основание за отмяна, а следва да се произнесе по изложените в молбата обстоятелства. В т.7 от същия тълкувателен акт е пояснено, че по чл.231, б. „а“ ГПК /отм./, сега чл. 303, ал.1, т.1 ГПК, само постановена след влизане в сила на решението присъда може да бъде основание за отмяна на посоченото основание, като при позоваване на противоречие с друго решение, се извършва преценка за наличие на основанието по чл. 231, б. „а“ ГПК /отм/, сега чл. 303, ал.1, т.4 ГПК. Предвид изложеното, доколкото молителят не се позовава на писмени доказателства или на влязла в сила присъда, а на влезли в сила решения, правната квалификация на соченото в молбата основание е по чл.303, ал.1, т.4 ГПК, а не по чл.303, ал.1, т.1 ГПК.</w:t>
        <w:tab/>
        <w:br/>
        <w:tab/>
        <w:t xml:space="preserve"/>
        <w:tab/>
        <w:br/>
        <w:tab/>
        <w:t xml:space="preserve">Основанието за отмяна на влязло в сила решение по реда на чл. 303, ал. 1, т. 4 ГПК предпоставя да са налице влезли в сила противоречащи си едно на друго решения между същите страни, за същото искане и на същото основание.</w:t>
        <w:tab/>
        <w:br/>
        <w:tab/>
        <w:t xml:space="preserve"/>
        <w:tab/>
        <w:br/>
        <w:tab/>
        <w:t xml:space="preserve">Съгласно разрешенията, дадени в Постановление на Пленума на ВС № 2/1977г., което не е загубило значението си и при действието на новия ГПК, с оглед съвпадане на разпоредбите на чл. 231, б.”г” ГПК /отм./ и чл. 303, ал.1, т.4 ГПК, под понятието „същите страни” се разбира ищецът и ответникът, другарите в процеса, встъпилите или привлечените трети лица помагачи, наследниците и правоприемниците на първоначалните страни, както и приобретателите на спорното право. Съдът не е ограничен от искането да се отмени именно посоченото в молбата решение, като може да отмени решението, което се сочи за правилно, а също така и двете решения, ако и двете са неправилни на едно или друго основание, стига да са налице предпоставките за отмяна по чл.303, ал.1, т.4 ГПК, съответно чл. 231, б.”г” ГПК /отм/.</w:t>
        <w:tab/>
        <w:br/>
        <w:tab/>
        <w:t xml:space="preserve"/>
        <w:tab/>
        <w:br/>
        <w:tab/>
        <w:t xml:space="preserve">Според т. 5 от Тълкувателно решение № 7/2014г. от 31.07.2017г. по тълк. д. № 1/ 2014г. на ОСГТК на ВКС, идентичност в предмета на влезлите в сила съдебни решения, като основание за отмяна на неправилно решение по смисъла на чл. 303, ал. 1, т. 4, във връзка с чл. 307, ал. 4 ГПК, е налице не само при пълен обективен и субективен идентитет по отношение на предмета и страните по делата, но и когато са разрешени по различен начин правни въпроси, включени в предмета на делото, по който се формира сила на пресъдено нещо. Пояснено е следното: Основанието на чл. 303, ал. 1, т. 4 ГПК ще е налице, когато разрешаването на спора по единия иск – обусловената претенция имплицитно съдържа в себе си произнасянето по другия иск – обуславящата претенция и разрешенията по обуславящия спор си противоречат. За да възникнат предпоставките по разпоредбата, трябва да е налице съвпадение между страните, както и да съществува обективно тъждество на производствата, но за разлика от хипотезата, при която обективното тъждество на производствата е резултат от еднаквите спорни предмети, в разглеждания случай обективният идентитет не се изразява в еднакъв предмет на делата, те имат различни спорни предмети, но предметът на обусловеното дело инкорпорира в себе си този на обуславящото дело. Въпреки различието в спорните предмети, между диспозитивите на двете решения възниква съотношение по силата, на което предметът на единия диспозитив имплицитно се включва в предмета на другия диспозитив. Разрешаването на спора по обусловения иск е предпоставено от установителното действие на силата на пресъдено нещо по постановеното преди него /преди решението, чиято отмяна се иска/ влязло в сила решение по преюдициалното правоотношение, което му противоречи. Предметите на двете решения са в съотношение, при което правото по обусловеното решение е мълчаливо отречена правна последица от предмета на решението по обуславящия иск. В случая няма противоречие между, решението, чиято отмяна се търси, и тези, на които се позовава молителят. С последните, по които Б. е трето лице помагач на страната на ищеца, е установено наличие на вземания на съпругата на молителя по два записа на заповед за 9 999 лева спрямо „БГ Мебел компания“ ООД, но от решението по чл.125, ал.3 ТЗ не се установява тези вземания да не са били част от пасива, който е взет предвид при определяне на равностойността на дружествения дял, нито е уважено възражението за прихващане на дружеството. В решението е посочено, че меродавен е отразения в счетоводния баланс размер на пасива, който е редуциран с размера на собствения капитал. В случая е отчетено, че в дясната страна на всеки баланс, наименована „пасив“ освен „пасива“ в тесен смисъл на думата (задълженията), се отразява и капитала. Не е направен извод, че вземанията по записите на заповед са приспаднати от пасива.</w:t>
        <w:tab/>
        <w:br/>
        <w:tab/>
        <w:t xml:space="preserve"/>
        <w:tab/>
        <w:br/>
        <w:tab/>
        <w:t xml:space="preserve">Предвид липсата на решения, противоречащи си едно на друго по см. на чл. 303, ал. 1, т. 4 ГПК, молбата за отмяна се явява неоснователна и следва да се остави без уважение.</w:t>
        <w:tab/>
        <w:br/>
        <w:tab/>
        <w:t xml:space="preserve"/>
        <w:tab/>
        <w:br/>
        <w:tab/>
        <w:t xml:space="preserve">Въпреки изхода на спора на ответника по молбата не могат да бъдат присъдени разноски по делото, тъй като не са представени доказателства, че такива са направени.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 РЕШИ:</w:t>
        <w:tab/>
        <w:br/>
        <w:tab/>
        <w:t xml:space="preserve"/>
        <w:tab/>
        <w:br/>
        <w:tab/>
        <w:t xml:space="preserve">ОСТАВЯ БЕЗ УВАЖЕНИЕ молбата вх. № 294704 / 05.07.2022г. на Н. Щ. Б., уточнена с молба от 17.08.2022г., за отмяна на въззивно решение № 12336/17.11.2020г. по т. д. № 6051/2019г. на Апелативен съд – София, в частта, с която е потвърдено решение от 05.07.2019г., поправено по реда на чл. 247 ГПК с решение № 1645/20.09.2019г., постановени по т. д. № 3394/2017г. на Софийски градски съд, в частта, с която искът на молителя Н. Божков по чл.125, ал.3 ТЗ срещу „БГ Мебел Компания“ ООД е отхвърлен за разликата от 15 421,01 лева до 309 450 лева.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