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№1123/13.03.2024 по гр. д. №2054/2023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1123</w:t>
        <w:tab/>
        <w:br/>
        <w:tab/>
        <w:t xml:space="preserve"/>
        <w:tab/>
        <w:br/>
        <w:tab/>
        <w:t xml:space="preserve">Гр. София, 13.03.2024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07 март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гр. дело №2054/2023 г., и за да се произнесе, взе предвид: </w:t>
        <w:tab/>
        <w:br/>
        <w:tab/>
        <w:t xml:space="preserve"/>
        <w:tab/>
        <w:br/>
        <w:tab/>
        <w:t xml:space="preserve"> Производство е образувано по три касационни жалби срещу решение №810/23.06.2022г., постановено по [населено място] №650/2021г. по описа на ВОС, с което е отменено решение №2994 от 09.07.2020г., постановено по [населено място] №11222 по описа за 2018 г. на ВРС,</w:t>
        <w:tab/>
        <w:br/>
        <w:tab/>
        <w:t xml:space="preserve"/>
        <w:tab/>
        <w:br/>
        <w:tab/>
        <w:t xml:space="preserve">С определение №4190 от 19.12.2023г., решение №810/23.06.2022г. е допуснато до касационно обжалване на осн. чл. 280, ал.1, т.1 ГПК по въпроса, формулиран в изложението на Д. Е. относно необходимостта от пълно изясняване на произхода на средствата за придобиването на процесните недвижими имоти, при направено от ответника възражение за трансформация на лично имущество в контекста на соченото от касатора противоречие с практиката на ВКС, обективирана в Решение № 347 от 15.10.2012 г. на ВКС по гр. д. № 1071/2011 г., IV г. о., ГК. </w:t>
        <w:tab/>
        <w:br/>
        <w:tab/>
        <w:t xml:space="preserve"/>
        <w:tab/>
        <w:br/>
        <w:tab/>
        <w:t xml:space="preserve">Със същото определение жалбоподателят Д. Е. Е. е задължен в едноседмичен срок от съобщението да внесе по сметка на ВКС държавна такса в размер на 644.00 лв., като в същия срок представи по делото доказателства за внасянето на таксата, като е предупреден, че в противен случай жалбата ще бъде върната</w:t>
        <w:tab/>
        <w:br/>
        <w:tab/>
        <w:t xml:space="preserve"/>
        <w:tab/>
        <w:br/>
        <w:tab/>
        <w:t xml:space="preserve">Съобщението, съдържащо горните указания е изпратено пълномощника на жалбоподателя – адв. Ж., но е върнато като неполучено с отбелязване, че адвокатът временно изпълнява длъжността кмет на район.</w:t>
        <w:tab/>
        <w:br/>
        <w:tab/>
        <w:t xml:space="preserve"/>
        <w:tab/>
        <w:br/>
        <w:tab/>
        <w:t xml:space="preserve">Съобщението, изпратено лично до касатора Е. на посочения по делото, съвпадащ със служебно установения от съда адрес, е върнато в цялост с отбелязване на длъжностното лице по призоваването, че по сведение на Г. И., живущ в същия блок, лицето е непознато на адреса.</w:t>
        <w:tab/>
        <w:br/>
        <w:tab/>
        <w:t xml:space="preserve"/>
        <w:tab/>
        <w:br/>
        <w:tab/>
        <w:t xml:space="preserve">По разпореждане на съда, на 06.02.2024г. е залепено уведомление на посочения в служебната справка адрес, като във върнатото съобщение е посочено, че никой не се е отзовал за получаване на призовката.</w:t>
        <w:tab/>
        <w:br/>
        <w:tab/>
        <w:t xml:space="preserve"/>
        <w:tab/>
        <w:br/>
        <w:tab/>
        <w:t xml:space="preserve">Касаторът не е изпълнил задължението си по чл.41 ГПК да уведоми съда за новия си адрес, поради което и на осн. чл. 41, ал.2 ГПК той се счита за редовно уведомен за задължението си за внасяне на такса. Въпреки предприетите от съда мерки посредством служебното издирване на неговия адрес и залепване на уведомление, по делото не са представени доказателства за внесена такса.</w:t>
        <w:tab/>
        <w:br/>
        <w:tab/>
        <w:t xml:space="preserve"/>
        <w:tab/>
        <w:br/>
        <w:tab/>
        <w:t xml:space="preserve">Съдът, като съобрази, че задължителните указания за внасяне на държавна такса не са изпълнени в определения за целта срок, включително и към настоящия момент, счита, че касационната жалба следва да бъде върната като нередовна.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о.ОПРЕДЕЛИ:</w:t>
        <w:tab/>
        <w:br/>
        <w:tab/>
        <w:t xml:space="preserve"/>
        <w:tab/>
        <w:br/>
        <w:tab/>
        <w:t xml:space="preserve">ВРЪЩА касационна жалба вх. №24000/17.10.2022г. на Д. Е. Е. срещу решение № 810/23.06.2022г., постановено по [населено място] №650/2021г. по описа на ВОС.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жалбоподателя.</w:t>
        <w:tab/>
        <w:br/>
        <w:tab/>
        <w:t xml:space="preserve"/>
        <w:tab/>
        <w:br/>
        <w:tab/>
        <w:t xml:space="preserve">След влизане на настоящото определение в сила, делото да се докладва за произнасяне.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