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№4088/04.04.2024 по адм. д. №9080/2023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4088 София, 04.04.2024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март две хиляди и двадесет и четвърта година в състав: Председател: МИЛЕНА ЗЛАТКОВА Членове: БЛАГОВЕСТА ЛИПЧЕВА ПОЛИНА ЯКИМОВА при секретар Светла Панева и с участието на прокурора Цветанка Борилова изслуша докладваното от съдията Полина Якимова по административно дело № 9080/2023 г.</w:t>
        <w:tab/>
        <w:br/>
        <w:tab/>
        <w:t xml:space="preserve">Производството е по реда на чл. 208 и сл.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касационната жалба на Хоум Фор Ю ЕООД, [ЕИК], гр. София, [адрес], представлявано от управителя В. Христов, чрез адв. Стойкова, срещу Решение № 4557/06.07.2023 г., постановено в производство по чл. 226 АПК по адм. д. № 4124/2023 г. на Административен съд София-град (АССГ), с което е отхвърлена жалбата на дружеството срещу Ревизионен акт (РА) № Р-22221017009255-091-001 от 26.09.2018 г., поправен с Ревизионен акт за поправка на ревизионен акт (РАПРА) № П-22221019055845-003-001 от 27.03.2019 г., издадени от органи по приходите при ТД на НАП София в потвърдената с Решение № 476 от 20.03.2019 г. на директора на дирекция Обжалване и данъчноосигурителна практика (ОДОП) София при ЦУ на НАП част на установените задължения за корпоративен данък за 2012 г. в размер на 9558,82 лв. и лихва 5329,93 лв. и установен корпоративен данък за 2013 г. в размер на 87 252,11 лв. със съответните лихви.</w:t>
        <w:tab/>
        <w:br/>
        <w:tab/>
        <w:t xml:space="preserve">Наведени са трите категории касационни основания по чл. 209, т. 3 АПК, чието осъществяване се аргументира с нередовност на процедурата по призоваване на касатора за откритото съдебно заседание, насрочено в АССГ за 31.05.2023 г., тъй като адв. Стойкова не е била надлежно упълномощена да представлява дружеството за производството по чл. 226 АПК. Твърди се и липса на мотиви в обжалваното решение. Претендира се отмяната му и отмяна на ревизионния акт и присъждане на разноски за двете съдебни инстанции.</w:t>
        <w:tab/>
        <w:br/>
        <w:tab/>
        <w:t xml:space="preserve">В съдебно заседание касаторът се представлява от адв. Стойкова, която поддържа жалбата на посочените в нея основания.</w:t>
        <w:tab/>
        <w:br/>
        <w:tab/>
        <w:t xml:space="preserve">Ответникът по касационната жалба, директорът на дирекция ОДОП София, чрез юрк. Михайлова, оспорва основателността й и моли за присъждане на юрисконсултско възнаграждение в размер на 10 216 лв.</w:t>
        <w:tab/>
        <w:br/>
        <w:tab/>
        <w:t xml:space="preserve">Прокурорът от Върховната прокуратура дава заключение за правилност на оспореното решение.</w:t>
        <w:tab/>
        <w:br/>
        <w:tab/>
        <w:t xml:space="preserve">Върховният административен съд, в състав на Първо отделение, като взе предвид доводите на страните и установените по делото факти съгласно чл. 220 АПК, приема от фактическа и правна страна следното:</w:t>
        <w:tab/>
        <w:br/>
        <w:tab/>
        <w:t xml:space="preserve">Касационната жалба е процесуално допустима като подадена от надлежна страна и в срока по чл. 211, ал. 1 АПК. Разгледана по същество, е неоснователна.</w:t>
        <w:tab/>
        <w:br/>
        <w:tab/>
        <w:t xml:space="preserve">Пред АССГ е оспорен РА № Р-22221017009255-091-001 от 26.09.2018 г., поправен с РАПРА № П-22221019055845-003-001 от 27.03.2019 г., издадени от органи по приходите при ТД на НАП София в потвърдената с Решение № 476 от 20.03.2019 г. на директора на дирекция ОДОП София част на установените задължения за корпоративен данък за 2012 г. в размер на 9558,82 лв. и лихва 5329,93 лв. и установен корпоративен данък за 2013 г. в размер на 87 252,11 лв. със съответните лихви.</w:t>
        <w:tab/>
        <w:br/>
        <w:tab/>
        <w:t xml:space="preserve">С Решение № 250 от 14.01.2022 г. по адм. дело № 5457/2019 г. по описа на АССГ е отхвърлена жалбата на дружеството срещу цитирания РА в потвърдената с Решение № 476 от 20.03.2019 г. на ответника част. Това решение е отменено с Решение № 4478/26.04.2023 г., постановено по адм. д. № 7596/2022 г. по описа на ВАС и делото е върнато за ново разглеждане от друг състав на АССГ, който да направи собствени фактически установявания като извърши преценка на съответните доказателства и формира изводи дали сочените от приходната администрация разходи, с които е преобразуван финансовият резултат на ревизираното лице, следва да се признаят или не за данъчни цели.</w:t>
        <w:tab/>
        <w:br/>
        <w:tab/>
        <w:t xml:space="preserve">В обжалваното решение, постановено в производството по чл. 226 АПК, съдът е мотивирал извод за законосъобразност на РА. Разгледал е поотделно и в съвкупност събраните по делото доказателства, обсъдил е доводите на страните, изложил е подробни и последователни правни изводи по спорните факти.</w:t>
        <w:tab/>
        <w:br/>
        <w:tab/>
        <w:t xml:space="preserve">Неоснователни са доводите в касационната жалба за допуснати от административния съд съществени нарушения на съдопроизводствените правила, изразяващи се в липсата на мотиви.</w:t>
        <w:tab/>
        <w:br/>
        <w:tab/>
        <w:t xml:space="preserve">Процесуално нарушение, притежаващо белега същественост, е нарушение, което, ако не беше допуснато, би се достигнало да различни фактически и/или правни изводи, т. е. до различен резултат при разрешаването на конкретния правен спор.</w:t>
        <w:tab/>
        <w:br/>
        <w:tab/>
        <w:t xml:space="preserve">Решението на АССГ съдържа достатъчно съществени и подробни мотиви, осигуряващи ефективен касационен контрол и даващи възможност на страната, за която то е неблагоприятно, да се защити. Обстоятелството, че съдът е счел за правилни правните изводи на ответника по делото, не означава, че не е изложил собствени мотиви.</w:t>
        <w:tab/>
        <w:br/>
        <w:tab/>
        <w:t xml:space="preserve">Не се подкрепя от данните по делото доводът на касатора, че дружеството не е редовно призовано за насроченото за 31.05.2023 г. открито съдебно заседание по адм. д. 4124/2023 г. Твърдението на адв. Стойкова, че не е процесуален представител на Хоум Фор Ю ЕООД за производството по чл. 226 АПК не кореспондира със съдържанието на пълномощното с дата 02.04.2019 г. (л. 145 от първоинстанционното дело), според което представителната й власт по отношение на дружеството е до окончателното приключване на делото във всички съдебни инстанции. Адв. Стойкова е получила лично призовката за насроченото за 31.05.2023 г. заседание по цитираното дело.</w:t>
        <w:tab/>
        <w:br/>
        <w:tab/>
        <w:t xml:space="preserve">По съответствието на решението с материалния закон:</w:t>
        <w:tab/>
        <w:br/>
        <w:tab/>
        <w:t xml:space="preserve">Решението на АССГ е постановено в съответствие с приложимите материалноправни норми от ЗКПО в частта му, касаеща отнесените от Хоум Фор Ю ЕООД по дебита на сч см 602 Разходи за външни услуги такива в размер на 49 128,17 лв. по издадените от Астрал Холидейз АД фактури с предмет настаняване и изхранване ГХ Велинград, допълнителни услуги към мероприятие в ГХ Велинград. Правилно е приел АССГ, че липсата на доказателства за връзката между фактурираните услуги и осъществяваната от ревизираното лице независима икономическа дейност е основание за непризнаване на разходите за целите на облагането с корпоративен данък на основание чл. 26, т. 1 ЗКПО.</w:t>
        <w:tab/>
        <w:br/>
        <w:tab/>
        <w:t xml:space="preserve">В частта на извършеното увеличение на счетоводния финансов резултат на дружеството за 2012 г. и за 2013 г. със сумата 36 681,75 лв., отнесена по кредита на сч см 602 Разходи за амортизации първостепенният съд е приел за безспорно установено, че през 2012 г. от касатора са осчетоводени разходи за амортизация на нематериален дълготраен материален актив в цитирания размер, за който актив се поддържа, че придобит от дружеството по силата на договор за изработка, сключен с Джет Сървис ЕООД на 10.01.2008 г. Касае се за Маркетингова стратегия и маркетингов план на ваканционно селище Оазис, [населено място], представена на хартиен носител едва за целите на ССчЕ по адм. дело № 5457/2019 г. АССГ подробно е аргументирал тезата си, че съдържанието на разработката има общ характер, обуславящ приложимостта й към всеки хотелски комплекс, без да се отчитат спецификите и особеностите на ваканционно селище Оазис, при това без да са необходими специални знания от областта на науката.</w:t>
        <w:tab/>
        <w:br/>
        <w:tab/>
        <w:t xml:space="preserve">По дефиницията на т. 2 от Счетоводен стандарт 38 нематериалните активи са установими нефинансови ресурси, придобити и контролирани от предприятието, които:</w:t>
        <w:tab/>
        <w:br/>
        <w:tab/>
        <w:t xml:space="preserve">а) нямат физическа субстанция, въпреки че:</w:t>
        <w:tab/>
        <w:br/>
        <w:tab/>
        <w:t xml:space="preserve">- могат да се съдържат във физическа субстанция, или</w:t>
        <w:tab/>
        <w:br/>
        <w:tab/>
        <w:t xml:space="preserve">- носителят им може да има физическа субстанция;</w:t>
        <w:tab/>
        <w:br/>
        <w:tab/>
        <w:t xml:space="preserve">б) са със съществено значение при употребата им;</w:t>
        <w:tab/>
        <w:br/>
        <w:tab/>
        <w:t xml:space="preserve">в) от използването им се очаква икономическа изгода.</w:t>
        <w:tab/>
        <w:br/>
        <w:tab/>
        <w:t xml:space="preserve">Маркетингова стратегия и маркетингов план на ваканционно селище Оазис, [населено място] съответства единствено на б. а), предл. 2 от определението. По делото липсват дори косвени данни, че тя е от съществено значение за дейността на дружеството и от използването й се очаква икономическа изгода. В никоя от фазите на ревизионното производство от дружеството не са заявени твърдения и не са посочени доказателства как разработката би могла или е допринесла за неговото занятие. По силата на чл. 59, ал. 1 ЗКПО разходите за амортизации се начисляват само ако и когато активът носи икономическа изгода. Следователно не е достатъчно той да бъде счетоводно заприходен като актив, а да се използва като такъв в икономическата дейност на собственика му. В тежест на ревизирания е да посочи доказателства в тази насока, но това не е сторено. Ето защо увеличението на СФР на дружеството за данъчен период 2012 г. и 2013 г. с разходите за амортизации на НДМА е правомерно.</w:t>
        <w:tab/>
        <w:br/>
        <w:tab/>
        <w:t xml:space="preserve">Правилно е първоинстанционното решение и в частта по приложението на чл. 26, т. 2 ЗКПО във връзка с разходите по фактура № 2337/12.12.2012 г., издадена от Интербилд ЕООД.</w:t>
        <w:tab/>
        <w:br/>
        <w:tab/>
        <w:t xml:space="preserve">Съгласно цитираната разпоредба не се признават за данъчни цели разходите, които не са документално обосновани по смисъла на този закон. Според чл. 10, ал. 1 ЗКПО разходът следва да е документално обоснован с първичен счетоводен документ по смисъла на Закона за счетоводството, отразяващ вярно стопанската операция, а според ал. 2 счетоводен разход се признава за данъчни цели и когато в първичния счетоводен документ липсва част от изискуемата информация по Закона за счетоводството, при условие, че за липсващата информация са налице документи, които я удостоверяват.</w:t>
        <w:tab/>
        <w:br/>
        <w:tab/>
        <w:t xml:space="preserve">Отнесената от касатора по сч см 609/1 Други разходи Оазис сума в размер на 778 106,18 лв. е по цитираната фактура с посочено основание плащане по протокол от 10.12.2012 г. Не се спори, че същата е издадена през 2012 г., но е осчетоводена през 2013 г., което е нарушение на установения в чл. 4, ал. 1, т. 4 от Закона за счетоводството (отм., в сила до 31.12.2015 г.) принцип на съпоставимост между приходите и разходите (разходите, извършени във връзка с определена сделка следва да се отразят счетоводно във финансовия резултат, в който предприятието черпи изгода от тях). Нарушението на счетоводното законодателство обуславя приложимост на чл. 78 ЗКПО.</w:t>
        <w:tab/>
        <w:br/>
        <w:tab/>
        <w:t xml:space="preserve">Независимо от изложеното, сумата 778 106,18 лв. няма характера на разход, разбиран като паричен израз на потребените ресурси за осъществяване на дейността. Според т. 18.1 на Счетоводен стандарт 1 Представяне на финансови отчети разходите са за суровини, материали, външни услуги, персонал, амортизации и обезценки, за обезценка на текущи активи, намаление на запаси от продукция и незавършено производство. Според протокола от 10.12.2012 г. към договор за поддръжка и опериране на хотелска част, сключен между касатора и Интербилд ЕООД, в резултат на извършените по него дейности ревизираният е реализирал приходи без ДДС в размер на 1 891 580,57 лв. и разходи без ДДС в размер на 779 973,10 лв., в резултат на което дейността по поддръжка и опериране на хотелската част е приключила с печалба в размер на 1 111 580,26 лв., която сума следва да бъде преведена на възложителя след като приспадне възнаграждението си в размер на 30 % от чистата печалба т. 9.6 от договора. Следователно възнаграждението по договора е приход от изпълнението му. Всички разходи, произтичащи от изпълнението му поддръжка и опериране на хотелската част са вече отчетени и съпоставени с реализираните от дейностите приходи така и заключението на основната и допълнителна ССчЕ. Ето защо частта от чистата печалба от дейността, която по силата на договора се разпределя в полза на възложителя, не представлява разход за ревизирания търговец и неправилно е осчетоводена от него в намаление на финансовия му резултат.</w:t>
        <w:tab/>
        <w:br/>
        <w:tab/>
        <w:t xml:space="preserve">Решението е правилно и в частта, отхвърляща жалбата на дружеството срещу РА в частта на преобразуването на СФР със сумата 38 927,06 лв., осчетоводени на основание чл. 37, т. 1 ЗКПО. В приложимата редакция разпоредбата предвижда, че непризнатите за данъчни цели приходи и разходи от последващи оценки и от отписване на вземания по реда на чл. 34 се признават за данъчни цели в годината, в която настъпи едно от следните обстоятелства: изтичане на давностния срок за вземането, но не повече от 5 години от момента, в който вземането е станало изискуемо.</w:t>
        <w:tab/>
        <w:br/>
        <w:tab/>
        <w:t xml:space="preserve">При липсата на първични счетоводни документи и на доказателства, въз основа на които да се установи моментът, в който е настъпила изискуемостта на вземанията отказът да се признаят разходи в посочения размер е законосъобразен.</w:t>
        <w:tab/>
        <w:br/>
        <w:tab/>
        <w:t xml:space="preserve">По изложените съображения касационният състав приема, че обжалваното решение е постановено в съответствие с приложимите материалноправни норми и следва да бъде оставено в сила.</w:t>
        <w:tab/>
        <w:br/>
        <w:tab/>
        <w:t xml:space="preserve">При този изход на спора и своевременно заявеното искане само ответникът има право на разноски съобразно чл. 161, ал. 1, изр. 3 ДОПК в размер на 10 216 лв.</w:t>
        <w:tab/>
        <w:br/>
        <w:tab/>
        <w:t xml:space="preserve">Мотивиран така и на основание чл. 221, ал. 2, изр. 1, предл.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4557/06.07.2023 г., постановено по адм. д. № 4124/2023 г. на Административен съд София-град.</w:t>
        <w:tab/>
        <w:br/>
        <w:tab/>
        <w:t xml:space="preserve">ОСЪЖДА Хоум Фор Ю ЕООД, [ЕИК], гр. София, [адрес], представлявано от управителя В. Христов, да заплати на Националната агенция за приходите 10 216 лв.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