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№60359/05.11.2021 по ч.гр.д. №4324/2021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60359</w:t>
        <w:tab/>
        <w:br/>
        <w:tab/>
        <w:t xml:space="preserve"/>
        <w:tab/>
        <w:br/>
        <w:tab/>
        <w:t xml:space="preserve">гр. София, 05.11.2021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трети ноември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4324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С. Г. С. против определение №1907/20.07.2021 г., постановено по гр. д.№ 1596/2021 г. от състав на САС.</w:t>
        <w:tab/>
        <w:br/>
        <w:tab/>
        <w:t xml:space="preserve"/>
        <w:tab/>
        <w:br/>
        <w:tab/>
        <w:t xml:space="preserve"> Частната жалба е подадена в срок и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 С обжалваното определение, състав на САС е приел, че подадената частна жалба е процесуално недопустима и я е оставил без разглеждане. Съдът е приел, че определението, с което се налага глоба не подлежи на самостоятелно обжалване, а на такова подлежи определението на съда, наложил глобата, с което се отказва да се отмени наложената глоба.</w:t>
        <w:tab/>
        <w:br/>
        <w:tab/>
        <w:t xml:space="preserve"/>
        <w:tab/>
        <w:br/>
        <w:tab/>
        <w:t xml:space="preserve"> Съгласно разпоредбата на чл.92, ал.1 ГПК, лицето, на което е наложена глоба, може да подаде молба за отмяна на същата, до съда, който я е наложил, като съгласно ал.3 на същата разпоредба, определението, с което съдът се произнася по тази молба, подлежи на обжалване с частна жалба. Не е предвидено изрично, че определението за налагане на гроба подлежи на самостоятелно обжалване, като инстанционния контрол по отношение на това определение е именно редът, посочен по-горе. Предвид изложеното, правилно съдът е приел, че обжалваното пред него определение не подлежи на самостоятелно обжалване.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№1907/20.07.2021 г., постановено по гр. д.№ 1596/2021 г. от състав на САС.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