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№1084/11.03.2024 по гр. д. №2622/2023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 П Р Е Д Е Л Е Н И Е</w:t>
        <w:tab/>
        <w:br/>
        <w:tab/>
        <w:t xml:space="preserve"/>
        <w:tab/>
        <w:br/>
        <w:tab/>
        <w:t xml:space="preserve">№ 1084</w:t>
        <w:tab/>
        <w:br/>
        <w:tab/>
        <w:t xml:space="preserve"/>
        <w:tab/>
        <w:br/>
        <w:tab/>
        <w:t xml:space="preserve">гр. София, 11.03.2024 г.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седми февруари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Николай Иванов гражданско дело № 2622 по описа на Върховния касационен съд за 2023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/>
        <w:tab/>
        <w:br/>
        <w:tab/>
        <w:t xml:space="preserve">Образувано е по касационна жалба, подадена от Н. П. Й., чрез процесуалния представител адв. М. Д., против въззивно решение № 59/24.03.2023 г. по в. гр. д. № 53/2023 г. на Апелативен съд – Варна, с което е потвърдено решение № 215/24.10.2022 г. по гр. д. № 142/2022 г. на Окръжен съд – Шумен за поставяне на Й. под пълно запрещение по молба на зам. окръжния прокурор на Окръжна прокуратура – Шумен, на основание чл. 5 ЗЛС.</w:t>
        <w:tab/>
        <w:br/>
        <w:tab/>
        <w:t xml:space="preserve"/>
        <w:tab/>
        <w:br/>
        <w:tab/>
        <w:t xml:space="preserve">В касационната жалба се излагат оплаквания за неправилност на обжалваното решение, като постановено при допуснати нарушения на материалния закон. </w:t>
        <w:tab/>
        <w:br/>
        <w:tab/>
        <w:t xml:space="preserve"/>
        <w:tab/>
        <w:br/>
        <w:tab/>
        <w:t xml:space="preserve"> В инкорпорираното в касационната жалба изложение на основанията за допускане на касационното обжалване от страна на касатора, като правен въпрос – общо основание по чл. 280, ал. 1 от ГПК за допускане на касационното обжалване, е формулиран следния въпрос: „Следва ли съдът в производства за поставяне под запрещение да изследва възможността за предоставяне мерки за подкрепа под формата на социални услуги и интервенции, преди да приложи разпоредбите на чл. 5 от ЗЛС, за постигане на максимално запазване на дееспособността на лицата, прогласено в Препоръката на Съвета на министрите и юриспруденцията на ЕСПЧ, както и за постигане на стеснителното тълкуване на разпоредбите на ЗЛС, посочено в решението на Конституционния съд по конституционно дело № 10/2014 г.?“. Сочи се наличие на основания за допускане на касационното обжалване по чл. 280, ал. 1, т. 2 и т. 3 от ГПК. Твърди се, че по този въпрос въззивният съд се е произнесъл в противоречие с РКС № 12 по конституционно дело № 10/2014 г., Препоръка № R (99) 4 на Комитета на министрите на Съвета на Европа, юриспруденцията на ЕСПЧ и Конвенцията за права на хората с увреждания, като се поддържа също, че въпросът е от значение за точното прилагане на закона, както и за развитието на правото. </w:t>
        <w:tab/>
        <w:br/>
        <w:tab/>
        <w:t xml:space="preserve"/>
        <w:tab/>
        <w:br/>
        <w:tab/>
        <w:t xml:space="preserve">В срока по чл. 287, ал. 1 ГПК не е постъпил отговор на жалбата от Прокуратура на Република България.</w:t>
        <w:tab/>
        <w:br/>
        <w:tab/>
        <w:t xml:space="preserve"/>
        <w:tab/>
        <w:br/>
        <w:tab/>
        <w:t xml:space="preserve">Върховният касационен съд, състав на състав на Трето гражданско отделение,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страна, в срока по чл. 283 ГПК, срещу решение на въззивен съд, подлежащо на касационно обжалване с оглед предмета на иска и е процесуално допустима.</w:t>
        <w:tab/>
        <w:br/>
        <w:tab/>
        <w:t xml:space="preserve"/>
        <w:tab/>
        <w:br/>
        <w:tab/>
        <w:t xml:space="preserve">С обжалваното решение въззивният съд, след съвкупна преценка на събраните по делото писмени и гласни доказателства, заключението на изготвената пред първата инстанция съдебно-психиатрична експертиза, както и от отговорите на въпросите при изслушването на ответницата в първата инстанция, е приел, че са налице условията по чл. 5 ЗЛС. Ответницата страдала от заболяване – „F71 Умерена умствена изостаналост. Имбецилност – лека степен. G40 Генерализирана идиопатична епилепсия. Гранд мал припадъци. Епилептична промяна на личността, представляваща F07. Ограничено разстройство на личността.“, което не й позволявало да се грижи за своите работи. Според заключението на вещото лице, умствената изостаналост представлява състояние на задържано или непълно развитие на интелекта, характеризиращо се с нарушение на уменията, които възникват в процеса на развитие и дават своя дял във формирането на общото ниво на интелигентност, т. е. когнитивните, речевите двигателните и социалните умения. Имбецилността като средностепенна умствена изостаналост ограничавала способността на ответницата да разбира свойството и значението на постъпките си, както и да може да ги ръководи. Й. не била в състояние да насочва и управлява волята си за постигане на определени цели, а това се ставало под диктовка на други лица. Не била способна да възприема, анализира и оценява факти и обстоятелства от действителността, действията на другите лица и да контролира собственото си поведение, съобразно тези факти и действия. Интелектуалните възможности на ответницата били в границата на екстремно ниски варианти на нормата. Не можела адекватно да осъществява връзка със заобикалящата я среда. Не можела да чете, да пише, да смята, не се ориентирала за време. Установена е неспособността й за налагане на самоконтрол, както и за предвиждане на вероятни неблагоприятни последици от собствените й действия и изводимото от тях поведение. Не осъзнавала болестта си и не разбирала необходимостта от провеждане на евентуално неотложно лечение, като отказът от такова би поставил в опасност нейното здраве и живот. </w:t>
        <w:tab/>
        <w:br/>
        <w:tab/>
        <w:t xml:space="preserve"/>
        <w:tab/>
        <w:br/>
        <w:tab/>
        <w:t xml:space="preserve">От представеното по делото ЕР № 1168 от 103/16.09.2003 г. на ТЕЛК при МБАЛ „Св. А.“ [населено място] е установено, че на ответницата била определена намалена работоспособност 96 %, с чужда помощ, пожизнено, поради общо заболяване „Умерена олигофрения. Имбецилност лека степен. Еретичен вариант. Двустранна атрофия на зрителния нерв“. От 2004 г. ползвала социална услуга в Дневен център за възрастни лица с увреждания „Слънчев къч“ – Шумен. Събрани са гласни доказателства относно състоянието на ответницата, начина й на живот, възможностите й да се ориентира правилно и да се справя сама в битово отношение. Според свидетелските показания Й. живеела с майка си, която единствена с помощта на социалния асистент полагала грижи за нея. В дома си била под непрекъснат надзор. Не излизала сама навън, освен на двора на блока, в който живеят. Не можела да отиде сама до магазина, но се справяла с придружител, който да й дава насоки какво да вземе, да даде пари и да изчака ресто. Разпитаните свидетели говорят за нея като за дете. Винаги трябвало да има човек до нея, като можела да взема елементарни решения, но не и такива, касаещи здравето и живота й. Й. разчитала на майка си за дейностите от ежедневието - личен тоалет, хранене и др. От извършения разпит на ответницата пред съда е установено, че отговаряла адекватно само на елементарни въпроси, като напр. как се казва, къде живее и с кого живее. Не можела да каже на колко години е. Поведението й сочело на интелектуален дефицит. </w:t>
        <w:tab/>
        <w:br/>
        <w:tab/>
        <w:t xml:space="preserve"/>
        <w:tab/>
        <w:br/>
        <w:tab/>
        <w:t xml:space="preserve">От направения анализ на доказателствата съдът е установил, че заболяването на ответницата напълно я е лишило от възможността да се грижи за своите работи, тъй като напълно е изключило когнитивните й възможности, поради което е налице и юридическият критерий. Направен е извод, че с оглед състоянието на ответницата към момента са налице обективните критерии за поставянето й под пълно запрещение. </w:t>
        <w:tab/>
        <w:br/>
        <w:tab/>
        <w:t xml:space="preserve"/>
        <w:tab/>
        <w:br/>
        <w:tab/>
        <w:t xml:space="preserve">По повод оплакванията във въззивната жалба за нарушение чл. 12 от Конвенцията за правата на хората с увреждания, въззивният съд се е позовал на РКС № 12 по конституционно дело № 10/2014 г., според което разпоредбите на чл. 5, ал. 1 и ал. 3 ЗЛС не са противоконституционни и въпреки че не отчитат изискванията на Конвенцията за правата на хората с увреждания, привеждането на законодателството в съответствие с нея не може да се постигне с неприлагането на посочените разпоредбите, а от компетентността на Народното събрание е да приеме съответното законодателство за режима на недееспособността. Въззивната инстанция е изложила мотиви, че предвид липсата на законово уредени мерки за подкрепа на лицата с увреждания, които да им позволят да упражняват правата си самостоятелно, съдът е длъжен да приложи действаща правна уредба за поставянето под запрещение. Във връзка с възраженията, касаещи съществуващите социални услуги и мерки за подкрепа, уредени в приетите в изпълнение на препоръките на Комитета на ООН за правата на хората с увреждания, Закон за социалните услуги и Закон за хората с увреждания, съдът е приел, че същите са ирелевантни за предмета на делото, тъй като тези мерки и услуги не отменят, нито заменят института на запрещението, а съществуват наред с него. </w:t>
        <w:tab/>
        <w:br/>
        <w:tab/>
        <w:t xml:space="preserve"/>
        <w:tab/>
        <w:br/>
        <w:tab/>
        <w:t xml:space="preserve">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дело, разрешаването на който е обусловило правните му изводи, постановени в основата на обжалвания съдебен акт. По отношение на този въпрос трябва да е налице някое от допълнителните основания по чл. 280, ал. 1 ГПК – да е решен в противоречие със задължителната практика на ВКС и ВС в тълкувателни решения и постановления, както и в противоречие с практиката на ВКС, да е решен в противоречие с актовете на КС на РБ или на Съда на ЕС, или да е от значение за точното прилагане на закона, както и за развитието на правото. Съгласно разпоредбата на чл. 280, ал. 2 ГПК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Поставеният от жалбоподателката въпрос се отнася до предпоставките, които съдът трябва да изследва в производството за поставяне под запрещение. Същият обуславя решението по делото, но съдът е съобразил установената съдебна практика. Съгласно дадените с ППВС № 5/1979 г. правни разрешения, за поставяне на едно лице под запрещение следва да са налице две изисквания – медицинско /страдание от душевна болест или слабоумие/ и юридическо /невъзможност на лицето да се грижи за работите си вследствие на болестта/. Предмет на делото за поставяне под запрещение е дееспособността на лицето, чието запрещение се иска, а основанието е наличието на душевна болест или слабоумие и невъзможността на страдащия да се грижи за своите работи. Тези задължителни разрешения по приложението на чл. 5 ЗЛС са безпротиворечиво съблюдавани в практиката на ВКС. Предвид това мерките за подкрепа под формата на социални услуги и интервенции не представляват част от предпоставките, които съдът изследва в производството за поставяне на едно лице под запрещение. Такива мерки са разписани в приетите в изпълнение на препоръките на Комитета на ООН за правата на хората с увреждания, Закон за социалните услуги, обн. ДВ, бр.24 от 22.03.2019 г., в сила от 1.07.2020 г. и Закон за хората с увреждания, обн. ДВ, бр. 105 от 18.12.2018 г., в сила от 1.01.2019 г. Те обаче са без значение за изхода по конкретното дело, доколкото тези социални услуги и мерки за подкрепа не заменят/отменят института на запрещението, а съществуват наред с него. Предметът на Законът за социалните услуги е уреждане предоставянето, ползването, планирането, финансирането, качеството, контрола и мониторинга на социалните услуги в Република България, а целите му са гарантиране на: равен достъп до социални услуги, отговарящи на индивидуалните потребности на лицата, качество и ефективност на социалните услуги; правото на всяко лице на подкрепа за живот и домашна среда и в общността. Законът за хората с увреждания има за предмет уреждане на обществените отношения, свързани с упражняване на правата на хората с увреждания в Република България и има за цел да насърчава и гарантира пълноценното и равноправно упражняване на правата и свободите на хората с увреждания; да създаде условия за социално приобщаване на хората с увреждания; да способства за зачитане на вътрешно присъщото човешко достойнство на хора с увреждания и да им предоставя подкрепа. Законът дава и легална дефиниция на „хора с увреждания“ и „хора с трайни увреждания“, между които попадат и лицата с психическа недостатъчност, включително и тези, поставени под запрещение. Като адресати на посочените закони, на тези лица също се предоставят социални услуги, съобразно техните желания и становището на настойника или попечителя, като в случай на противоречие водещо е желанието на лицето, нуждаещо се от социална услуга. При изследване желанията на лицата, поставени под запрещение, Дирекция „Социално подпомагане“ може да изисква подкрепа от доставчици на социални услуги, а настойникът или попечителят на лицето, поставено под запрещение, е длъжен да се съобрази с желанието му и да му съдейства за насочването и ползването на избраната от него социална услуга. Изложеното налага извод, че в производството по чл. 336 ГПК съдът изследва само дали са налице посочените по-горе материалноправни предпоставки за поставянето под запрещение – наличието на слабоумие или душевна болест и невъзможност на физическото лице поради тези страдания да се грижи за своите работи, а не въпросите налице ли са други възможности за преодоляване на трудностите, които едно лице с увреждане има, като например – ползване на различни социални услуги или мерки за подкрепа. </w:t>
        <w:tab/>
        <w:br/>
        <w:tab/>
        <w:t xml:space="preserve"/>
        <w:tab/>
        <w:br/>
        <w:tab/>
        <w:t xml:space="preserve">За пълнота на изложението следва да се посочи, че с решение № 12/17.07.2014 г. по конституционно дело № 10/2014 г. на Конституционния съд на РБ, на което жалбоподателката твърди, че разрешението на въззивния съд противоречи, е прието, че действащата правна уредба не отчита изискванията на Конвенцията за правата на хората с увреждания ограниченията за поставените под запрещение лица да бъдат пропорционални на състоянието им, да се прилагат за възможно най-кратък срок и да подлежат на редовно преразглеждане от независим орган, но че привеждането на законодателството в съответствие с Конвенцията за правата на хората с увреждания не може да се постигне с неприлагането на оспорените разпоредби; че сами по себе си разпоредби на чл. 5, ал. 1 и чл. 5, ал. 3 от ЗЛС не са в противоречие с Конституцията, но трябва да бъдат тълкувани стеснително и единствено по начин, който изпълнява конституционното изискване да бъде дадена засилена защита на правата на хората с психически увреждания, а такава ще е налице, когато неизбежните ограничения, свързани със запрещението, не водят до неоправдано посегателство върху основни конституционни права на тези лица, а осигуряват недопускане на такива правни действия, които могат да накърнят интересите на поставения под запрещение или на трети лица, или на обществото. До приемането на нова уредба, която да е в съответствие с европейското и международно право, разпоредбата на чл. 5, ал. 1 ЗЛС следва да се прилага, макар и ограничително, като способ за подкрепа и съдействие на нуждаещите се лица.</w:t>
        <w:tab/>
        <w:br/>
        <w:tab/>
        <w:t xml:space="preserve"/>
        <w:tab/>
        <w:br/>
        <w:tab/>
        <w:t xml:space="preserve">С атакуваното въззивно решение не е прието нещо различно. Същото е съобразено с така дадените правни разрешения. Съдът е установил, че са налице двете изисквания за поставяне под запрещение, визирани в чл. 5 ЗЛС. В конкретния случай въззивният съд е обосновал с оглед установената по делото фактическата обстановка изводите си, че Н. Й. страда от страда от умерена към тежка умствена изостаналост – слабоумие по смисъла на чл.5, ал.1 от ЗЛС, която води до невъзможност да разбира свойството и значението на постъпките си и оттам да се грижи за своите работи, поради което следва да бъде поставена под пълно запрещение. Посочил е, че мерките за подкрепа не заменят института на запрещението, а съществуват наред него. </w:t>
        <w:tab/>
        <w:br/>
        <w:tab/>
        <w:t xml:space="preserve"/>
        <w:tab/>
        <w:br/>
        <w:tab/>
        <w:t xml:space="preserve">Мотивиран от горното, Върховния касационен съд приема, че формулираният въпрос не обосновава допускане на касационно обжалване на основанията по чл. 280, ал. 1, т. 2 и т. 3 ГПК.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59/24.03.2023 г., постановено по в. гр. д. № 53/2023 г. по описа на Апелативен съд – Варна.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