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№560/06.10.2025 по гр. д. №5328/2023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560</w:t>
        <w:tab/>
        <w:br/>
        <w:tab/>
        <w:t xml:space="preserve"/>
        <w:tab/>
        <w:br/>
        <w:tab/>
        <w:t xml:space="preserve"> София, 06.10. 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трети септември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5328 по описа за 2023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247 ГПК.</w:t>
        <w:tab/>
        <w:br/>
        <w:tab/>
        <w:t xml:space="preserve"/>
        <w:tab/>
        <w:br/>
        <w:tab/>
        <w:t xml:space="preserve">С молба от 04.07.2025 г., депозирана от А. М. Б., С. М. Б. и С. М. Й., чрез пълномощника им адв. Т. А., е поискана поправка на очевидна фактическа грешка, допусната в диспозитива на решение № 36 от 28.01.2025 г. по гр. д. № 5328/2023 г. на ВКС относно размера на дължимите от ищците на ответника разноски, сторени в първоинстанционното производство, съобразно отхвърлената част на исковете, като вместо посочения в диспозитива размер от 4 168,00 лв., се посочи действителния размер, определен в мотивите на решението, а именно – 1250,40 лв. </w:t>
        <w:tab/>
        <w:br/>
        <w:tab/>
        <w:t xml:space="preserve"/>
        <w:tab/>
        <w:br/>
        <w:tab/>
        <w:t xml:space="preserve">Насрещната страна – „Брикел“ ЕАД, чрез адв. Ж. е депозирала отговор, в който поддържа, че молбата няма характер на такава с правно основание чл.247 ГПК – за поправка на очевидна фактическа грешка в диспозитива на решението, а има характер на молба с правно основание чл.248, ал.1 ГПК – за изменение на решението в частта за разноските, която молба обаче е депозирана след изтичане на срока по чл.248, ал.1 ГПК и следва да бъде оставена без разглеждане, като процесуално недопустима. </w:t>
        <w:tab/>
        <w:br/>
        <w:tab/>
        <w:t xml:space="preserve"/>
        <w:tab/>
        <w:br/>
        <w:tab/>
        <w:t xml:space="preserve">Настоящият състав на ВКС приема, че молбата, депозирана от ищците има характер на молба за поправка на очевидна фактическа грешка по реда на чл.247 ГПК. Очевидна фактическа грешка е всяко несъответствие между формираната истинска воля на съда в мотивите на съдебния акт и нейното външно изразяване в диспозитива на съдебния акт. С настоящата молба се иска отстраняване именно на допусната фактическа грешка в диспозитива на решението, доколкото посочения в него размер на дължимите на ответника разноски за първата инстанция, не съответства на размера, определен съобразно чл.78, ал.3 ГПК и посочен в мотивите на решението. </w:t>
        <w:tab/>
        <w:br/>
        <w:tab/>
        <w:t xml:space="preserve"/>
        <w:tab/>
        <w:br/>
        <w:tab/>
        <w:t xml:space="preserve">Видно от мотивите на решението по чл.290 ГПК, съставът на ВКС е констатирал, че ответникът е сторил разноски за депозити за вещи лица в първата инстанция в общ размер на 4 168 лв., като с оглед изхода на спора е приел, че му се дължат такива, съобразно отхвърлената част на исковете в размер на 1 250,40 лв. В диспозитива на решението обаче, настоящият състав на ВКС е допуснал грешка при посочване на размера на дължимите на ответника разноски, като е посочил общата сума на сторените такива от него за първата инстанция, а не дължимия му се размер съобразно отхвърлената част на исковете на основание чл.78, ал.3 ГПК, която очевидна фактическа грешка, следва да бъде отстранена по реда на чл.247 ГПК.</w:t>
        <w:tab/>
        <w:br/>
        <w:tab/>
        <w:t xml:space="preserve"/>
        <w:tab/>
        <w:br/>
        <w:tab/>
        <w:t xml:space="preserve">Водим от горното Върховният касационен съд, състав на Четвърто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на основание чл.247 ГПК поправка на очевидна фактическа грешка в диспозитива на решение № 36 от 28.01.2025 г. по гр. д. № 5328/2023 г. на ВКС, като вместо изписаното в абзац седми: „ОСЪЖДА А. М. Б., ЕГН [ЕГН], С. М. Б., ЕГН [ЕГН] и С. М. Й., ЕГН[ЕИК], да заплатят на „Брикел“ ЕАД, ЕИК[ЕИК], на основание чл.78, ал.3 ГПК разноски за производството пред първата инстанция в размер на 4 168 лв.“, да се чете: </w:t>
        <w:tab/>
        <w:br/>
        <w:tab/>
        <w:t xml:space="preserve"/>
        <w:tab/>
        <w:br/>
        <w:tab/>
        <w:t xml:space="preserve">„ОСЪЖДА А. М. Б., ЕГН [ЕГН], С. М. Б., ЕГН [ЕГН] и С. М. Й., ЕГН[ЕИК], да заплатят на „Брикел“ ЕАД, ЕИК[ЕИК], на основание чл.78, ал.3 ГПК разноски за производството пред първата инстанция в размер в размер на 1 250,40 лв. /хиляда двеста и петдесет лева и четиридесет ст./“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