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№1807/11.04.2024 по гр. д. №3491/2023 на ВКС, ГК, III г.о., докладвано от съдия Джулиана Петкова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1807</w:t>
        <w:tab/>
        <w:br/>
        <w:tab/>
        <w:t xml:space="preserve"/>
        <w:tab/>
        <w:br/>
        <w:tab/>
        <w:t xml:space="preserve">гр.София, 11.04.2024г.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втори април две хиляди двадесет и четвърта година, в състав:</w:t>
        <w:tab/>
        <w:br/>
        <w:tab/>
        <w:t xml:space="preserve"/>
        <w:tab/>
        <w:br/>
        <w:tab/>
        <w:t xml:space="preserve">ПРЕДСЕДАТЕЛ : ИЛИЯНА ПАПАЗОВА</w:t>
        <w:tab/>
        <w:br/>
        <w:tab/>
        <w:t xml:space="preserve"/>
        <w:tab/>
        <w:br/>
        <w:tab/>
        <w:t xml:space="preserve">ЧЛЕНОВЕ: МАЙЯ РУСЕВА</w:t>
        <w:tab/>
        <w:br/>
        <w:tab/>
        <w:t xml:space="preserve"/>
        <w:tab/>
        <w:br/>
        <w:tab/>
        <w:t xml:space="preserve">ДЖУЛИАНА ПЕТКОВА</w:t>
        <w:tab/>
        <w:br/>
        <w:tab/>
        <w:t xml:space="preserve"/>
        <w:tab/>
        <w:br/>
        <w:tab/>
        <w:t xml:space="preserve">като изслуша докладваното от съдия Петкова гр. д.№ 3491/2023г.,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288 ГПК.</w:t>
        <w:tab/>
        <w:br/>
        <w:tab/>
        <w:t xml:space="preserve"/>
        <w:tab/>
        <w:br/>
        <w:tab/>
        <w:t xml:space="preserve"> Образувано е по касационна жалба на „Електроразпределение Север“ АД, чрез адв. Н. Б., срещу решение № 512/24.04.2023г. по гр. д.№ 213/23г. по описа на Окръжен съд Варна, с което, след частична отмяна и частично потвърждаване на първоинстанционното решение, са уважени предявените от П. П. Т. и Р. Т. Т. искове по чл. 200 КТ за присъждане на обезщетения за неимуществени вреди от смъртта на Т. Г. Т., настъпила в резултат от трудова злополука на 03.07.2021г., до размери от по 94 234, 50 лева и са отхвърлени за разликите над 94 234, 50 лева до заявените като частични размери от по 150 000 лева от дължими по 200 000 лева, и са присъдени разноски. </w:t>
        <w:tab/>
        <w:br/>
        <w:tab/>
        <w:t xml:space="preserve"/>
        <w:tab/>
        <w:br/>
        <w:tab/>
        <w:t xml:space="preserve"> Касаторът иска отмяна на въззивното решение в частта, с която исковете са уважени, излагайки подробни оплаквания във връзка с всички касационни основания по чл. 281 т.3 ГПК. В контекста на възраженията си срещу извода за неоснователност на възражението за съпричиняване по чл. 201, ал.2 КТ и на тезата си за несправедливо завишаване на присъдените обезщетения, в изложението по чл. 284, ал.3, т.1 ГПК касаторът поставя в хипотезата на чл. 280, ал.1, т.1 ГПК следните въпроси: </w:t>
        <w:tab/>
        <w:br/>
        <w:tab/>
        <w:t xml:space="preserve"/>
        <w:tab/>
        <w:br/>
        <w:tab/>
        <w:t xml:space="preserve">1/ Оборима ли е материалната доказателствена сила на официалните документи?</w:t>
        <w:tab/>
        <w:br/>
        <w:tab/>
        <w:t xml:space="preserve"/>
        <w:tab/>
        <w:br/>
        <w:tab/>
        <w:t xml:space="preserve">2/ Следва ли в случай, че тя е оборена, съдът да обоснове фактическите си констатации и правни изводи на други, събрани по делото доказателства?</w:t>
        <w:tab/>
        <w:br/>
        <w:tab/>
        <w:t xml:space="preserve"/>
        <w:tab/>
        <w:br/>
        <w:tab/>
        <w:t xml:space="preserve">3/ Когато официалният документ свидетелства за факти, които излизат вън от компетентността на издалия го орган, той действителен ли е като официално удостоверяване и ползва ли се със силата, присъща на официалните документи?</w:t>
        <w:tab/>
        <w:br/>
        <w:tab/>
        <w:t xml:space="preserve"/>
        <w:tab/>
        <w:br/>
        <w:tab/>
        <w:t xml:space="preserve">4/ Неизпълнението от страна на работодателя на задължението му да осигури здравословни и безопасни условия на труд, само по себе си достатъчно ли е, за да се презюмира, че работникът е допринесъл за настъпване на трудовата злополука?</w:t>
        <w:tab/>
        <w:br/>
        <w:tab/>
        <w:t xml:space="preserve"/>
        <w:tab/>
        <w:br/>
        <w:tab/>
        <w:t xml:space="preserve">5/ „Грубата небрежност“ по смисъла на чл. 201, ал.2 КТ, допусната от работника, отличава ли се по форма или правно значение за нейното съществуване и обем има само обективното съотношение на допринасянето на трудовата злополука с оглед на всички конкретни факти и обстоятелства?</w:t>
        <w:tab/>
        <w:br/>
        <w:tab/>
        <w:t xml:space="preserve"/>
        <w:tab/>
        <w:br/>
        <w:tab/>
        <w:t xml:space="preserve">6/ Когато дадена дейност съставлява източник на повишена опасност за живота и здравето на упражняващия я работник и генерира висок професионален риск от увреда, работникът притежава съответните умения за правомерното й осъществяване и дългогодишен опит, и пренебрегне основни технологични правила за работа и безопасност при извършване на съответната специфична дейност, в резултат на което бъде увреден, допусната ли е от него „груба небрежност“ по смисъла на чл. 201, ал.2 КТ?</w:t>
        <w:tab/>
        <w:br/>
        <w:tab/>
        <w:t xml:space="preserve"/>
        <w:tab/>
        <w:br/>
        <w:tab/>
        <w:t xml:space="preserve">7/ Представлява ли неполагането на елементарно старание и внимание и пренебрегването на основни правила за безопасност, с които работникът е запознат и е длъжен да спазва, проява на „груба небрежност“?</w:t>
        <w:tab/>
        <w:br/>
        <w:tab/>
        <w:t xml:space="preserve"/>
        <w:tab/>
        <w:br/>
        <w:tab/>
        <w:t xml:space="preserve">8/ За да е справедливо определено по смисъла на чл. 52 ЗЗД обезщетението, следва ли да се преценят всички съотносими обективни обстоятелства - вид, характер на увреждането, начин на извършване, реално причинените морални страдания, възрастта на пострадалия, общественото му положение, отношенията между него и близките му, търсещи обезщетение, както и всички други релевантни към конкретния случай факти и обстоятелства ?</w:t>
        <w:tab/>
        <w:br/>
        <w:tab/>
        <w:t xml:space="preserve"/>
        <w:tab/>
        <w:br/>
        <w:tab/>
        <w:t xml:space="preserve">Насрещните страни по жалбата - ищците П. П. Т. и Р. Т. Т., чрез адв. П. К., възразяват срещу наличието на основания за допускане на касационно обжалване и оспорват оплакванията по жалбата.</w:t>
        <w:tab/>
        <w:br/>
        <w:tab/>
        <w:t xml:space="preserve"/>
        <w:tab/>
        <w:br/>
        <w:tab/>
        <w:t xml:space="preserve">На третото лице помагач – ЗЕАД „Булстрад Виена иншурънс Груп“ не е изпращан препис от касационната жалба.</w:t>
        <w:tab/>
        <w:br/>
        <w:tab/>
        <w:t xml:space="preserve"/>
        <w:tab/>
        <w:br/>
        <w:tab/>
        <w:t xml:space="preserve">По искането за допускане на касационно обжалване, настоящият състав съобрази следното:</w:t>
        <w:tab/>
        <w:br/>
        <w:tab/>
        <w:t xml:space="preserve"/>
        <w:tab/>
        <w:br/>
        <w:tab/>
        <w:t xml:space="preserve">Предявените искове по чл. 200 КТ са частични, за присъждане обезщетение за неимуществени вреди от смърт при трудова злополука от 03.07.2021г. Ищците са преживяла съпруга и син на починалия при злополуката, който е заемал при ответника длъжността „електромонтьор по поддържане и ремонт на електропроводни линии и мрежи, трафопостове и СТИ, експерт, ниво (грейд) 6“.</w:t>
        <w:tab/>
        <w:br/>
        <w:tab/>
        <w:t xml:space="preserve"/>
        <w:tab/>
        <w:br/>
        <w:tab/>
        <w:t xml:space="preserve">За да уважи исковете до размер от 94 234, 50 лева, въззивният съд, позовавайки се на прогласения от чл. 52 ЗЗД принцип на справедливост при обезщетяване на неимуществените вреди от деликт и разясненията, дадени в ППВС 4/68г., е приел, че суми от по 150 000 лева ще компенсират в най - пълна степен болките и страданията на ищците, предвид следните обстоятелства, установени от доказателствата по делото: отношенията в семейството на ищците и значимостта на фигурата на съпруга и бащата – семейството е било сплотено, силно привързани един към друг, в качеството на авторитетна и водеща фигура Т. Т. му давал сигурност, спокойствие, емоционална и финансова стабилност; начина, по който била понесена загубата му от ищците и интензитета на търпените болки и страдания в тази връзка – внезапната загуба на съпруг и баща в разцвета на силите и кариерата му /на 52 г./ нарушила цялостното функциониране и качеството на живота на ищците; възрастта на ищците - ищцата е в зряла възраст, в която вече е създала семейство и е лишена от спътника си в живота, като в тази възраст нуждата от близък човек, какъвто е съпругът, и неговата подкрепа в ежедневието, са много по-силни; ищецът е в началото на самостоятелния си път в живота и завинаги ще бъде лишен от бащина подкрепа. Съдът е съобразил и дълбокото и продължително чувство на тъга у двамата ищци, довело до ограничен интерес и удоволствие от контактуване с близки и приятели, както и социално-икономическите условия в страната към момента на настъпване на трудовата злополука. От така определените размери на обезщетенията са приспаднати заплатените на ищците от третото лице-помагач ЗЕАД „Булстрад Виена Иншурънс груп“ обезщетения по застрахователния договор от по 55 765, 50 лева. </w:t>
        <w:tab/>
        <w:br/>
        <w:tab/>
        <w:t xml:space="preserve"/>
        <w:tab/>
        <w:br/>
        <w:tab/>
        <w:t xml:space="preserve">За да откаже да намали на основание чл. 201, ал.2 КТ определеното като справедливо обезщетение, въззивният съд е изяснил, че небрежността в гражданското право е модел на поведение, свързан с неполагането на дължимата грижа и работникът действа при груба небрежност само в случаите, когато не е положил грижа, каквато и най-небрежният би положил в подобна обстановка, а доказателствената тежест за възражението за съпричиняване е на работодателя, който следва да установи не само, че работникът е допуснал нарушение на правилата за безопасност на труда, но че е извършвал работата при липса на елементарно старание и внимание и пренебрегване на основни технологични правила и мерки за безопасност. В приложение на тези теоретични постановки, въззивният съд е приел, че разпоредбите, на чието нарушение от пострадалия се позовава ответникът - чл. 202, ал. 2, т. 2 от Наредба № 7 за минималните изисквания за здравословни и безопасни условия на труд на работните места и при използване на работното оборудване; чл. 140 и чл. 143 от Правилник за безопасност и здраве при работа в електрически уредби на електрически и топлофикационни централи и по електрически мрежи (ПБЗРЕУЕТЦЕМ); чл. 263 от Правилник за безопасност и здраве при работа с електрически уредби на електрически топлофикационни централи и по електрически мрежи и т. 3.7 от Инструкция W1-51-EPR-JE за извършване на работи с нареждане, одобрена от работодателя, предвиждат като задължителна техническа мярка за безопасност при работа с електрически уредби на електрически топлофикационни централи и по електрически мрежи с напрежение до 1000 V (включително замяна на предпазители) изключването на напрежението за тоководещи части, по които ще се работи, както и за тези, които при работа случайно могат да бъдат допрени или доближени на разстояние, по-малко от: 1. при напрежение до 35 kV вкл. – 1, 0 м.; 2. (изм. - ДВ, бр. 19 от 2005 г.) при напрежение над 35 kV до 110 kV включително – 1, 5 м.; 3. при напрежение 220 kV - 2,5 м; 4. при напрежение 400 kV - 4,5 м. Счел е обаче, че същите са неприложими за процесния случай, при който злополуката е настъпила при смяна на предпазител ниско напрежение в трафопост с няколко отделни клона /линии/ ниско напрежение и изключено напрежение в клона, в който е трябвало да се смени предпазителя. Отделно, въззивният съд се е позовал на обстоятелството, че нарушението на цитираните правила за безопасност от страна на пострадалия не е посочено в Протокола № 15/30.07.2021 год., изд. от НОИ ТП – Русе, за резултатите от извършеното разследване на трудовата злополука, където като единствена причина за нея се сочат допуснати нарушения от „Електроразпределение Север“ АД - Варна, както и на приетия за установен механизъм на злополуката (токовият удар е причинен от допир на пострадалия с лакътя на лявата му ръка до тоководещи части от табло ниско напрежение с три отделни клона, което се е обслужвало вътре в трафопост, където се намира и трафомашина 20 KV, в резултат от загубата на равновесие при упражненото от пострадалия усилие да извади високомощния предпазител от стойката му, като в момента на злополуката пострадалият е бил приклекнал, коленичил с едното си коляно на земята, за да има опора), предвид на който от значение за съпричиняването било дали Т. е знаел или е допускал, че при опит да издърпа високомощния предпазител от линията на таблото ниско напрежение, докато е бил коленичил на едно коляно, ще се допре до линия ниско напрежение в същото табло, която е била под напрежение и която не се намира в непосредствена близост до линията, по която Т. е следвало да работи. В отговор на този въпрос въззивният съд е приел, че с оглед конкретното разположение на таблото ниско напрежение в трафопоста – в непосредствена близост до инсталации със средно и високо напрежение, което е било свързано със специфичен риск, работодателят е следвало предварително да изготви и утвърди инструкция за безопасност и здраве при извършване на действия по отстраняване на аварии по табло ниско напрежение в близост до инсталации или машини средно и високо напрежение, съобразно конкретните условия в трафопоста; бил е длъжен да извърши и оценка на риска, която да обхване избора на използваното работно оборудване и параметрите на работната среда и да установи и сведе до минимум опасностите при работа в близост до инсталации или машини средно и високо напрежение и като не го е сторил, не е осигурил безопасни условия на труд, поради което не можело да се приеме, че злополуката се дължи на допусната груба небрежност от пострадалия. Отделно е изтъкнато и че на пострадалия Т. не е бил проведен периодичния тримесечен инструктаж за безопасност, а от обстоятелствата не било несъмнено ясно, че определени негови действия могат да доведат до злополука, увреждаща неговото здраве/ живот.</w:t>
        <w:tab/>
        <w:br/>
        <w:tab/>
        <w:t xml:space="preserve"/>
        <w:tab/>
        <w:br/>
        <w:tab/>
        <w:t xml:space="preserve">Допускането на касационно обжалване предпоставя произнасяне от въззивния съд по материалноправен или процесуалноправен въпрос, който е от значение за спорното право и по отношение на който е налице някое от основанията по чл. 280, ал. 1, т. 1-3 ГПК. Съгласно даденото в т.1 на Тълкувателно решение № 1 от 19.02.2010г. по тълк. дело № 1/2009г. на ОСГТК на ВКС разрешение, правният въпрос от значение за изхода по конкретното дело е този, който е включен в предмета на спора и е обусловил правните изводи на съда по делото.</w:t>
        <w:tab/>
        <w:br/>
        <w:tab/>
        <w:t xml:space="preserve"/>
        <w:tab/>
        <w:br/>
        <w:tab/>
        <w:t xml:space="preserve">Всички поставените от касатора въпроси са обуславящи, доколкото касаят приложението на чл. 201, ал.2 КТ ( от първи до седми, вкл.) и на чл. 52 ЗЗД (осми въпрос). По приложението на чл. 201, ал.2 КТ е налице съдебна практика на ВКС (решение № 186/01.02.2019г. по гр. д.№ 4922/2017г. на ІV ГО; решение № 144 /19.07.2019г. по гр. дело № 2413 /2018г. на ІІІ ГО ; решение № 58/20.04.2018г. по гр. д.№ 2037/2017г ІІІ ГО и посочените в него решения по чл. 290 ГПК ; решение №187/29.10.2020г. по гр. д.№ 4559/2019г. на ІVГО ; № 132/18.12.2020г. по гр. д.№ 4606/2019г., ІІІ ГО и др. ), част от която се сочи от самия касатор, с която безпротиворечиво се приема следното: Изводът за съпричиняване поради груба небрежност предпоставя установяване на механизма на увреждането, вкл. конкретното поведение на работника, което стои в каузална връзка с вредите, при доказателствена тежест на работодателя ответник. Когато е налице такова поведение ( действие или бездействие) се преценява дали то изпълва хипотезата на груба небрежност, като се има предвид, че грубата небрежност не се отличава по форма ( според субективното отношение към увреждането), а по степен от небрежността в гражданското право, както и че самонадеяността в наказателното право и грубата небрежност в гражданското право са несъотносими. Заключението за допусната груба небрежност се прави при сравнение на конкретното съпричинително поведение на работника с абстрактния модел – грижата, която би положил и най-небрежният човек, зает със съответната дейност при подобни условия и ако това сравнение показва, че поведението на работника е проява на липса на елементарно старание и внимание и пренебрегване на основни технологични правила и правила за безопасност, следва извод за съпричиняване при допусната груба небрежност. Когато такава е установена, се поставя въпросът за намаляване отговорността на работодателя, за разрешаването на който от значение е виновното поведение на работодателя, на работника, тежестта и съотношението на причините, довели до увреждането при злополуката, като се следва принципа, че колкото повече едно лице е допринесло за настъпването на вредата, толкова по-голямо трябва да е неговото участие в обезщетяването й.</w:t>
        <w:tab/>
        <w:br/>
        <w:tab/>
        <w:t xml:space="preserve"/>
        <w:tab/>
        <w:br/>
        <w:tab/>
        <w:t xml:space="preserve">Въззивното решение следва да се допусне до касационен контрол за проверка дали решаващите мотиви на въззивния съд по приложението на чл. 51 ал.2 ГПК са съобразени с цитираните разрешения. </w:t>
        <w:tab/>
        <w:br/>
        <w:tab/>
        <w:t xml:space="preserve"/>
        <w:tab/>
        <w:br/>
        <w:tab/>
        <w:t xml:space="preserve">Касаторът дължи държавна такса за касационното обжалване в размер на 3769, 38 лева (по 1884, 69 лева за всеки иск).</w:t>
        <w:tab/>
        <w:br/>
        <w:tab/>
        <w:t xml:space="preserve"/>
        <w:tab/>
        <w:br/>
        <w:tab/>
        <w:t xml:space="preserve">Мотивиран от горното, Върховният касационен съд,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ДОПУСКА касационно обжалване на решение № 512/24.04.2023г. по гр. д.№ 213/23г. по описа на Окръжен съд Варна.</w:t>
        <w:tab/>
        <w:br/>
        <w:tab/>
        <w:t xml:space="preserve"/>
        <w:tab/>
        <w:br/>
        <w:tab/>
        <w:t xml:space="preserve">УКАЗВА на „Електроразпределение Север“ АД, [населено място] в едноседмичен срок от съобщението да представи доказателства за внесена по сметка на ВКС държавна такса за касационното обжалване в размер на 3769,38 лева.</w:t>
        <w:tab/>
        <w:br/>
        <w:tab/>
        <w:t xml:space="preserve"/>
        <w:tab/>
        <w:br/>
        <w:tab/>
        <w:t xml:space="preserve">При неизпълнение в срок касационна жалба ще бъде върната.</w:t>
        <w:tab/>
        <w:br/>
        <w:tab/>
        <w:t xml:space="preserve"/>
        <w:tab/>
        <w:br/>
        <w:tab/>
        <w:t xml:space="preserve">Делото да се докладва на председателя на IІІ г. о. за насрочването му в открито съдебно заседание след изтичане срока за изпълнение на указанията за представяне на доказателства за внесена държавна такса.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