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№5510/07.05.2024 по адм. д. №876/2024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5510 София, 07.05.2024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осми април две хиляди двадесет и четвърта година в състав: Председател: ЛЮБОМИР ГАЙДОВ Членове: ТАНЯ ВАЧЕВАЮЛИЯ РАЕВА при секретар Маринела Цветанова и с участието на прокурора Ася Петрова изслуша докладваното от съдията Юлия Раева по административно дело № 876/2024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община Поморие срещу Решение № 1146 от 20.11.2023 г. на Административен съд - Бургас по адм. д. № 1031/2023 г., с което е отхвърлена жалбата на общината срещу Решение от 22.05.2023 г. на ръководителя на Управляващия орган на Оперативна програма „Околна среда“ (УО на ОПОС) 2014 - 2020 за определяне на финансова корекция.</w:t>
        <w:tab/>
        <w:br/>
        <w:tab/>
        <w:t xml:space="preserve">Касационният жалбоподател навежда доводи за неправилност на решението поради нарушение на материалния закон и необоснованост - касационни основания по чл. 209, т. 3 АПК. Излага аргументи, че административният акт е немотивиран, тъй като в него не се уточнява на кои критерии за подбор или части от техническите спецификации не отговарят изпълнителят и неговото техническо предложение. В обжалваното съдебно решение съдът също не е диференцирал фактическите основания, на които определеният за изпълнител участник е следвало да бъде отстранен. Твърди се, че съдът използва съюза „и/или“ при цитиране на състава на нередността, поради което не става ясно дали приема, че несъответствието е по отношение на критериите за подбор или по отношение на техническите спецификации, или приема, че несъответствието едновременно засяга критериите за подбор и техническите спецификации. Прави искане за отмяна на съдебното решение и административния акт. Претендира разноски за двете съдебни инстанции.</w:t>
        <w:tab/>
        <w:br/>
        <w:tab/>
        <w:t xml:space="preserve">Ответникът - ръководителят на УО на ОПОС 2014 - 2020 г. изразява становище за неоснователност на касационната жалба, претендира разноски и прави възражение за прекомерност на исканите от касационния жалбоподател такива.</w:t>
        <w:tab/>
        <w:br/>
        <w:tab/>
        <w:t xml:space="preserve">Представителят на Върховната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като обсъди събраните по делото доказателства, становищата на страните,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страна, при спазване на срока по чл. 211, ал. 1 АПК и срещу решение, което подлежи на обжалване, поради което е процесуално допустима. По същество е основателна.</w:t>
        <w:tab/>
        <w:br/>
        <w:tab/>
        <w:t xml:space="preserve">Предмет на обжалване пред административния съд е Решение от 22.05.2023 г. на ръководителя на УО на ОПОС 2014 - 2020 за определяне на финансова корекция на община Поморие в размер на 25 % върху допустимите разходи по договор № Д-12 от 13.01.2021 г. със „Стройнорм“ ЕООД на стойност 40 200 лв. без ДДС. Предмет на обществената поръчка е „Изпълнение на оценка на съответствието и строителен надзор за обект „Рекултивация на общинско депо за битови отпадъци, находящо се в землището на с. Каменар, община Поморие“.</w:t>
        <w:tab/>
        <w:br/>
        <w:tab/>
        <w:t xml:space="preserve">След проведена процедура по чл. 73, ал. 2 от Закона за управление на средствата от Европейските фондове при споделено управление (ЗУСЕФСУ, загл. изм. – ДВ, бр. 51 от 2022 г., в сила от 1.07.2022 г.) ръководителят на УО е издал оспорения административен акт на основание чл. 70, ал. 1, т. 9 ЗУСЕФСУ. Актът е мотивиран с констатация за нарушение на чл. 107, т. 2, б. „а“ и чл. 2, ал. 1, т. 1 от Закона за обществените поръчки (ЗОП). Нарушението е квалифицирано като нередност по т. 14 от Приложение № 1 към чл. 2, ал. 1 от Наредбата за посочване на нередности, представляващи основания за извършване на финансови корекции, и на процентните показатели за определяне на размера на финансовите корекции по реда на ЗУСЕСИФ (Наредбата за посочване на нередности/Наредбата). Определен е процентен показател от 25 % върху допустимите разходи, финансирани със средства от ЕСИФ.</w:t>
        <w:tab/>
        <w:br/>
        <w:tab/>
        <w:t xml:space="preserve">От фактическа страна органът е изложил мотиви, че в техническото предложение на „Стройнорм“ ЕООД са допуснати следните пропуски:</w:t>
        <w:tab/>
        <w:br/>
        <w:tab/>
        <w:t xml:space="preserve">1. Участникът е дал описание на дейностите, при което е разграничил фигурите на проектанта и строителя, без да отчете факта, че има само един изпълнител по договора за проектиране и строителство. Съгласно мотивите на комисията за оценка на офертите, възприети в решение № Р-48/02.12.2020 г., в представената органиграма от участника „Икар Консулт“ АД проектант и изпълнител строителство са посочени отделно, като според възложителя и помощния му орган „участникът не е съобразил, че в конкретната поръчка строителят е и лице, което е отговорно за проектирането“. Сходни мотиви са изразени относно офертите на „Пловдивинвест“ АД, „Обединение Т7-Стройконтрол ГТ“, „Инжконсултпроект“ ООД, „Дедал“ ООД, „Васстрой-консулт“ ООД, отстранени от участие в процедурата, тъй като в техническите си предложения са посочили „договора за строителство“, „изпълнителя на СМР“, „изпълнителя по договора за строителство“, т. е. идентифицирали са отделно строител и отделно авторски надзор/проектант, без да отчетат факта, че ще има един изпълнител на договор за проектиране и строителство.</w:t>
        <w:tab/>
        <w:br/>
        <w:tab/>
        <w:t xml:space="preserve">2. При описанието на акт образец № 2 е посочено, че раздел I от него съдържа описание на прилежащите на строителната площадка благоустройствени фондове - улично платно, тротоар, зелени площи; в описанието на раздел II са посочени „разстоянията до сгради и постройки в имота и в съседния поземлен имот“. Изброените обекти не са част от проекта на конкретната поръчка, тъй като предмет на строителен надзор е депо за отпадъци. Следователно предложението в тази част е неотносимо към предмета на поръчката.</w:t>
        <w:tab/>
        <w:br/>
        <w:tab/>
        <w:t xml:space="preserve">3. Участникът е посочил, че акт образец № 6 се съставя от експертите по части „Конструктивна“ и „Инженерна геология и хидрология“ от екипа на строителния надзор (стр. 34). Видно от органиграмата (стр. 130) обаче такива лица не фигурират в организационната схема на участника в екипа на строителния надзор. Съгласно органиграмата за оценка на съответствието (стр. 125) е включен „експерт ТК по част Конструкции“, като липсва експерт по част „Инженерна геология и хидрология“. Налице са несъответствия между отделните части на техническото предложение, които представляват основание за отстраняване според условията на възложителя.</w:t>
        <w:tab/>
        <w:br/>
        <w:tab/>
        <w:t xml:space="preserve">4. При изпълнението на задача 11 „Осъществяване на контрол относно пълнота и правилно съставяне на актовете и протоколите по време на строителството“ (стр. 40 и 41) е посочено, че ръководителят на екипа е отговорното лице за „решаване на споровете, възникнали при съставяне на актове и протоколи между участниците в строителството“. В описанието на задача 15, която е озаглавена аналогично „Решаване на споровете, възникнали при съставяне на актове или протоколи между участниците в строителството“, е посочено, че споровете се решават от лицето, упражняващо строителен надзор, и от физическото лице, упражняващо технически контрол за част „Конструктивна“ (стр. 44). Налице е несъответствие между отделните части на техническото предложение, което представлява основание за отстраняване според условията на възложителя.</w:t>
        <w:tab/>
        <w:br/>
        <w:tab/>
        <w:t xml:space="preserve">5. Участникът е посочил ангажимент да организира съвместната работа между строителите на една и съща строителна площадка (стр. 66). Предложението е неотносимо към предмета на поръчката, тъй като съгласно условията на поръчката строителството се извършва от един субект.</w:t>
        <w:tab/>
        <w:br/>
        <w:tab/>
        <w:t xml:space="preserve">6. В офертата е посочено задължението изпълнителят да изиска от строителя да представи за одобрение рецептите за бетонови и асфалтови смеси (стр. 79). За това, че е предложил „Преглед за одобрение на производител на асфалтови смеси и рецепти за такива смеси“, „Пешев“ ЕООД е отстранено от участие поради несъответствие с предмета на поръчката. Полагането на асфалтова настилка не е включено в предмета на поръчката за инженеринг, поради което и двете оферти съдържат части, които са неотносими към предмета на поръчката.</w:t>
        <w:tab/>
        <w:br/>
        <w:tab/>
        <w:t xml:space="preserve">7. Направено е предложение за дейност 5 по упражняване на контрол върху кадастралното заснемане на обекта по реда на Наредба № 3 от 28 април 2005 г. за съдържанието, създаването и поддържането на кадастралната карта и кадастралните регистри (стр. 68). Наредбата е отменена от 13.01.2017 г., поради което е неприложима при издаването на удостоверение от службата по геодезия, картография и кадастър.</w:t>
        <w:tab/>
        <w:br/>
        <w:tab/>
        <w:t xml:space="preserve">8. Посочено е, че „при необходимост“ лица от екипа ще внесат лично екзекутивната документация в съответните инстанции, от името и с пълномощно на възложителя (стр. 85). Съгласно изискванията на техническата спецификация (дейност „Управление на процесите по въвеждане в експлоатация на строежа“ - стр. 14) изпълнителят е длъжен да изготви, окомплектова и внесе от името на възложителя писмено искане за назначаване на държавна приемателна комисия за строежа, без да има право на преценка за необходимост.</w:t>
        <w:tab/>
        <w:br/>
        <w:tab/>
        <w:t xml:space="preserve">Помощният орган на възложителя не е установил изложените пропуски и несъответствия в техническото предложение на участника и е допусната оферта, която не отговаря на изискванията. В резултат на това е допуснато неравно третиране на участниците.</w:t>
        <w:tab/>
        <w:br/>
        <w:tab/>
        <w:t xml:space="preserve">От правна страна съдът е обосновал извод за законосъобразност на административния акт поради липса на основанията по чл. 146 АПК. Относно приложението на материалния закон е отбелязал, че се потвърждават констатациите на органа, изложени в т. 1 - 6. Относно констатациите по т. 7 и 8 съдът е приел, че са формални и не представляват основание за отстраняване на участника.</w:t>
        <w:tab/>
        <w:br/>
        <w:tab/>
        <w:t xml:space="preserve">Решението е валидно и допустимо, но неправилно поради нарушение на материалния закон.</w:t>
        <w:tab/>
        <w:br/>
        <w:tab/>
        <w:t xml:space="preserve">Законодателят дефинира нередността по т. 14 от Приложение № 1 към чл. 2, ал. 1 от Наредбата за посочване на нередности със следното съдържание: „Критериите за подбор или техническите спецификации са променени след отварянето на офертите или са приложени неправилно.“ Описанието на нередността е следното: „Критериите за подбор или техническите спецификации са променени или са неправилно приложени в хода на процедурата, в резултат на което:</w:t>
        <w:tab/>
        <w:br/>
        <w:tab/>
        <w:t xml:space="preserve">– определен е за изпълнител кандидатът или участникът, който не отговаря на критериите за подбор и/или техническите спецификации, или</w:t>
        <w:tab/>
        <w:br/>
        <w:tab/>
        <w:t xml:space="preserve">– отстранен е кандидат или участник, чиято оферта е трябвало да бъде допусната до разглеждане на техническото предложение, ако публикуваните критерии за подбор или техническите спецификации са били спазени.“</w:t>
        <w:tab/>
        <w:br/>
        <w:tab/>
        <w:t xml:space="preserve">В случая от мотивите на органа става ясно, че става въпрос за допуснати нарушения при определянето на изпълнителя, а не при отстраняването на участници. За тази цел органът трябва ясно да посочи дали нарушенията съставляват неправилно приложение на критериите за подбор или на техническите спецификации, или е налице неправилно приложение едновременно и на критериите за подбор, и на техническите спецификации. Органът задължително трябва също така да уточни за кои критерии за подбор става въпрос, какво е тяхното конкретно съдържание и в коя част на документацията за обществената поръчка са регламентирани. Ако се твърди неправилно приложение на техническите спецификации – органът трябва да посочи тяхното съдържание и спрямо него да извърши анализ на техническото предложение.</w:t>
        <w:tab/>
        <w:br/>
        <w:tab/>
        <w:t xml:space="preserve">В настоящия случай в административния акт няма сравнение на техническото предложение с конкретни изисквания от документацията за обществената поръчка и в частност с изискванията от техническите спецификации, а сравнение с техническите предложения на участници, които са отстранени. Основателно касационният жалбоподател посочва, че административният орган трябва посочи фактите и обстоятелствата и точно да ги подведе под съответната разпоредба, за да мотивира констатация за нарушение, което представлява нередност. Като не е констатирал необосноваността на акта в частта относно фактическите основания за издаването му, съдът е постановил неправилно решение – в нарушение на материалния закон. Решението следва да бъде отменено и вместо него да бъде постановено друго за отмяна на административния акт.</w:t>
        <w:tab/>
        <w:br/>
        <w:tab/>
        <w:t xml:space="preserve">Съобразно изхода на спора в полза на касационния жалбоподател следва да бъдат присъдени разноски в общ размер на 3 540,24 лв., включващи държавна такса 96,48 лв. и адвокатско възнаграждение 1 782,48 лв. за първата инстанция и държавна такса 96,48 лв. и адвокатско възнаграждение 1 564,80 лв. за касационната инстанция. Претендираният размер на адвокатското възнаграждение съответства на фактическата и правна сложност на делото, поради което възражението на ответника за неговата прекомерност е неоснователно. Видно от обстоятелствената част на административния акт фактическите констатации и правните изводи на органа са изложени в 8 точки и засягат съдържанието на техническото предложение не само на участника, избран за изпълнител, но и на останалите участници, което изисква анализ на значителен обем данни при оказване на правната помощ.</w:t>
        <w:tab/>
        <w:br/>
        <w:tab/>
        <w:t xml:space="preserve">Водим от горното и на основание чл. 221, ал. 2 и чл. 222, ал. 1 АПК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ОТМЕНЯ Решение № 1146 от 20.11.2023 г. на Административен съд - Бургас по адм. д. № 1031/2023 г. и вместо него ПОСТАНОВЯВА:</w:t>
        <w:tab/>
        <w:br/>
        <w:tab/>
        <w:t xml:space="preserve">ОТМЕНЯ Решение от 22.05.2023 г. на ръководителя на Управляващия орган на Оперативна програма „Околна среда“ 2014 - 2020 за определяне на финансова корекция на община Поморие.</w:t>
        <w:tab/>
        <w:br/>
        <w:tab/>
        <w:t xml:space="preserve">ОСЪЖДА Министерството на околната среда и водите да заплати разноски в полза община Поморие в размер на 3 540,24 лв. (три хиляди петстотин и четиридесет лева и двадесет и четири стотинки).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ЛЮБОМИР ГАЙДОВ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ВАЧЕВА/п/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