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№9433/15.09.2021 по адм. д. №437/2021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9433 София, 15.09.2021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март в състав: ПРЕДСЕДАТЕЛ:ДИАНА ДОБРЕВА ЧЛЕНОВЕ:ВИОЛЕТА ГЛАВИНОВА ЕМАНОИЛ МИТЕВ при секретар Николина Аврамова и с участието на прокурора Ася Петроваизслуша докладваното от съдиятаЕМАНОИЛ МИТЕВ по адм. дело № 437/2021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П. Колев, чрез адв. Сепетлиев против решение № 862 от 09.12.2020 г. по адм. дело № 615/2020 г. на Административен съд - Хасково. В нея излага доводи за неправилност на съдебния акт поради неправилно приложение на материалния закон и необоснованост – касационни основания за отмяната му по чл. 209, т. 3 АПК. Претендира разноски.</w:t>
        <w:tab/>
        <w:br/>
        <w:tab/>
        <w:t xml:space="preserve">Ответникът по касационната жалба – Изпълнителния директор на Изпълнителна агенция „Медицински надзор“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– Хасково е отхвърлил жалбата на П. Колев против № РД-15-03-10 от 15.06.2020 г. на изпълнителния директор на Изпълнителна агенция (ИА) “Медицински надзор“ - София, с която на основание чл. 107, ал. 1, т. 10 от Закона за държавния служител е прекратено служебното му правоотношение за длъжността [длъжност]: в отдел „Риск, мениджмънт и анализ“ към дирекция „Контрол на медицинските дейност и оценка на качеството“ на Изпълнителна агенция „Медицински надзор.</w:t>
        <w:tab/>
        <w:br/>
        <w:tab/>
        <w:t xml:space="preserve">За да постанови този резултат е приел за установено от фактическа страна, че оспорваният административен акт е издаден от компетентния административен орган, в кръга на делегираните правомощия, в предписаната от закона форма, при спазване на процесуалните правила и при правилно приложение на материалния закон. Решението е валидно, допустимо и правилно.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обжалваното решение са неоснователни. Първоинстанционният съд е обсъдил самостоятелно всички въведени от страните обстоятелства, като е дал ясен и конкретен отговор кои приема за установени въз основа на събраните по делото доказателства. 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законосъобразност на оспорвания административен акт. Несъгласието на страната с изводите на съда не основава неправилност на обжалваното решение.</w:t>
        <w:tab/>
        <w:br/>
        <w:tab/>
        <w:t xml:space="preserve">Към момента на издаване на оспорената заповед служителят е назначен на длъжност, определена в длъжностното разписание за заемане при непълно работно време, в хипотезата на чл. 16а, ал. 1 ЗДСл. Служебното му правоотношение е прекратено на основание чл. 107, ал. 1, т. 10 ЗДСл, съгласно което органът по назначаването прекратява служебното правоотношение без предизвестие, когато длъжността по чл. 16а, ал. 1 бъде определена за заемане при пълно работно време. Съдът, в съответствие с релевантните по спора обстоятелства, обосновано е приел, че в случая са изпълнени предпоставките на визираната разпоредба. Длъжността, на която е бил назначен П. Колев е трансформирана с нарочен акт на органа по назначаването в длъжност, която следва да се заеме при пълно работно време и в съгласие с утвърденото длъжностно разписание, в сила към датата на издаване на оспорената заповед. Не намират опора в доказателствени материал твърденията, че към момента на прекратяване на служебното правоотношение не е било налице надлежно утвърдено длъжностно разписание, в което е отразена настъпилата промяна досежно длъжността. Както съдът вярно е отбелязал, органът по назначаването е утвърдил ново длъжностното разписание, в което е посочено, че длъжността се заема на пълно работно време, като същото е в сила към момента на издаване на оспорената заповед.</w:t>
        <w:tab/>
        <w:br/>
        <w:tab/>
        <w:t xml:space="preserve">Неоснователни са доводите на касатора за необоснованост на извода на съда за материална законосъобразност на оспорената заповед поради факта, че заповедта за утвърждаване на новото длъжностно разписание и заповедта за прекратяване на служебното правоотношение са от една и съща дата. От значение за преценката за материалната законосъобразност на заповедта е наличието на утвърдено длъжностно разписание съобразно съответните изисквания към момента на прекратяване на служебното.</w:t>
        <w:tab/>
        <w:br/>
        <w:tab/>
        <w:t xml:space="preserve">Предвид изложеното настоящата инстанция намира, че съдът е тълкувал и приложил правилно закона, поради което решението му следва да бъде оставено в сила.</w:t>
        <w:tab/>
        <w:br/>
        <w:tab/>
        <w:t xml:space="preserve">Воден от горното и на осн. чл. 221, ал. 2 АПК Върховният административен съд, пето отделение РЕШИ:</w:t>
        <w:tab/>
        <w:br/>
        <w:tab/>
        <w:t xml:space="preserve">ОСТАВЯ В СИЛА решение № 862 от 09.12.2020 г. по адм. дело № 615/2020 г. на Административен съд - Хасково. Решението е окончателно. Вярно с оригинала, ПРЕДСЕДАТЕЛ:/п/ Диана Добрева</w:t>
        <w:tab/>
        <w:br/>
        <w:tab/>
        <w:t xml:space="preserve">секретар: ЧЛЕНОВЕ:/п/ Виолета Главинова</w:t>
        <w:tab/>
        <w:br/>
        <w:tab/>
        <w:t xml:space="preserve">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