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№740/05.10.2023 по търг. д. №1538/2023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740</w:t>
        <w:tab/>
        <w:br/>
        <w:tab/>
        <w:t xml:space="preserve"/>
        <w:tab/>
        <w:br/>
        <w:tab/>
        <w:t xml:space="preserve"> Гр. София, 05.10.2023г. </w:t>
        <w:tab/>
        <w:br/>
        <w:tab/>
        <w:t xml:space="preserve"/>
        <w:tab/>
        <w:br/>
        <w:tab/>
        <w:t xml:space="preserve">ВЪРХОВНИЯ КАСАЦИОНЕН СЪД, ТЪРГОВСКА КОЛЕГИЯ, ВТОРО Т.О. в закрито съдебно заседание на пети октомври през две хиляди двадесет и трета година в състав: 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 ЧЛЕНОВЕ : ГАЛИНА ИВАНОВА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Кацарска т. д № 1538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жалба, подадена от Панче Маноиловски чрез назначения му особен представител – адв.С. А., срещу решение №418/12.07.2023г. по в. гр. д.№545/2023г. на ОС-Благоевград.</w:t>
        <w:tab/>
        <w:br/>
        <w:tab/>
        <w:t xml:space="preserve"/>
        <w:tab/>
        <w:br/>
        <w:tab/>
        <w:t xml:space="preserve"> С определение на ОС-Благоевград №945/13.07.2022г. адв. С. Я. А. е определена за особен представител на ответника по иска, като адвокат А. е посочена и в писмото на АК – Благоевград с №373/2022г. с тези имена. Касационната жалба е подадена от адв. С. А. като особен представител. С оглед констатираното разминаване в първото име на особения представител, следва да му бъде указано да представи документ за евентуалната му промяна от С. на С.. </w:t>
        <w:tab/>
        <w:br/>
        <w:tab/>
        <w:t xml:space="preserve"/>
        <w:tab/>
        <w:br/>
        <w:tab/>
        <w:t xml:space="preserve"> При администриране на жалбата въззивният съд не е определил възнаграждение на особения представител на страната. Съгласно т. 6 на ТР № 6/06.11.2013 г. по тълк. д. № 6/2012 г. на ОСГТК на ВКС е прието, че възнаграждението на особен представител е винаги дължимо, независимо от изхода на спора, като може да бъде възстановено на ищеца, ако изхода от спора е в негова полза. В случая възнаграждение на особения представител се дължи от ищцовата банка, ответник по касацията. Възнаграждението определено съгласно чл. 9, ал. 2 във вр. с чл. 7, ал. 2, т. 4 от Наредба № 1/09.07.2004 г. за минималните размери на адвокатските възнаграждения съгласно цената на предявените искове и обжалваемия интерес, който е в размер на сумата от 21 454,12 лв., възлиза на сумата от 880,22 лв. / ѕ от възнаграждението по чл. 7, ал.2 от Наредбата. Ответникът следва да бъде задължен да заплати тази сума по сметка на ВКС.</w:t>
        <w:tab/>
        <w:br/>
        <w:tab/>
        <w:t xml:space="preserve"/>
        <w:tab/>
        <w:br/>
        <w:tab/>
        <w:t xml:space="preserve">Воден от горните съображения, ВКС, състав на 2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ОПРЕДЕЛЯ възнаграждение за особения представител на касатора Панче Маноиловски /ответник по иска/ - адвокат С. Я. А., за касационното производство в размер на 880,22 лв. / осемстотин и осемдесет лева и двадесет и две стотинки/ и указва на ответника по касационната жалба ЮРОБАНК БЪЛГАРИЯ АД /ищец/ в едноседмичен срок от съобщението да представи платежен документ за внесен депозит за определеното възнаграждение.</w:t>
        <w:tab/>
        <w:br/>
        <w:tab/>
        <w:t xml:space="preserve"/>
        <w:tab/>
        <w:br/>
        <w:tab/>
        <w:t xml:space="preserve"> УКАЗВА на адвокат А. в едноседмичен срок от получаване на съобщението да представи документ във връзка с легитимацията си като особен представител, а именно съдебно решение или друг документ за промяна на собственото й име с оглед гореизложените мотиви. </w:t>
        <w:tab/>
        <w:br/>
        <w:tab/>
        <w:t xml:space="preserve"/>
        <w:tab/>
        <w:br/>
        <w:tab/>
        <w:t xml:space="preserve"> При неизпълнение на задължението от „Юробанк България“ АД в срок, делото да се докладва за издаване на изпълнителен лист и предприемане на действия за принудително събиране на сумата.</w:t>
        <w:tab/>
        <w:br/>
        <w:tab/>
        <w:t xml:space="preserve"/>
        <w:tab/>
        <w:br/>
        <w:tab/>
        <w:t xml:space="preserve">Определението не подлежи на обжалване. Да се съобщи на страните за изпълнение на указанията.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