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№3366/06.11.2023 по ч.гр.д. №4157/2023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3366</w:t>
        <w:tab/>
        <w:br/>
        <w:tab/>
        <w:t xml:space="preserve"/>
        <w:tab/>
        <w:br/>
        <w:tab/>
        <w:t xml:space="preserve">гр. София, 06.11.2023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тридесет и първи октомври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4157/2023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В. С. Г. от [населено място] срещу определение № 2124 от 21.08.2023 г., постановено по в. ч. гр. д. № 1147/2023 г. на Бургаския окръжен съд, с което е допълнено по реда на чл. 248 ГПК определение № 1842 от 11.07.2023 г. по същото дело, в частта за разноските, като жалбоподателката е осъдена да заплати на Община Поморие разноски в размер на 800 лв. </w:t>
        <w:tab/>
        <w:br/>
        <w:tab/>
        <w:t xml:space="preserve"/>
        <w:tab/>
        <w:br/>
        <w:tab/>
        <w:t xml:space="preserve">Върховният касационен съд, II г. о., преценявайки данните по делото, намира следното:</w:t>
        <w:tab/>
        <w:br/>
        <w:tab/>
        <w:t xml:space="preserve"/>
        <w:tab/>
        <w:br/>
        <w:tab/>
        <w:t xml:space="preserve">Срещу определение № 1842 от 11.07.2023 г. по в. ч. гр. д. № 1147/2023 г. на Бургаския окръжен съд е подадена частна касационна жалба от В. С. Г., по която е образувано частно касационно дело № 4156/2023 г. по описа на ВКС, II г. о.</w:t>
        <w:tab/>
        <w:br/>
        <w:tab/>
        <w:t xml:space="preserve"/>
        <w:tab/>
        <w:br/>
        <w:tab/>
        <w:t xml:space="preserve">Произнасянето на съда по частната жалба е свързано с произнасянето по частната касационна жалба и не се налага разглеждането на двете жалби в отделни производства, поради което съдът следва да присъедини настоящото ч. гр. д. № 4157/2023 г. към ч. гр. д. № 4156/2023 г. по описа на ВКС, II г. о. за общото им разглеждане в едно производство под номера на последното дело и за постановяване на общ съдебен акт по тях на основание чл. 213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 р и с ъ е д и н я в а настоящото ч. гр. д. № 4157/2023 г. към ч. гр. д. № 4156/2023 г., двете по описа на ВКС, II г. о., за общото им разглеждане в едно производство под номера на последното дело и за постановяване на общ съдебен акт по тях.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