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№4188/19.12.2023 по гр. д. №5158/2023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4188/19.12.2023 г.Върховен касационен съд на Република България, Гражданска колегия, Четвърто отделение в закритото съдебно заседание на четиринадесети декември две хиляди 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5158 по описа за 2023 г.</w:t>
        <w:tab/>
        <w:br/>
        <w:tab/>
        <w:t xml:space="preserve"/>
        <w:tab/>
        <w:br/>
        <w:tab/>
        <w:t xml:space="preserve">Образувано е по касационна жалба от [община] срещу решение № 185/05.05.2023 г. по гр. д. № 517/2022 г. на Окръжен съд – Кюстендил в осъдителните части.</w:t>
        <w:tab/>
        <w:br/>
        <w:tab/>
        <w:t xml:space="preserve"/>
        <w:tab/>
        <w:br/>
        <w:tab/>
        <w:t xml:space="preserve">Впоследствие жалбата е оттеглена от касатора и с това отпада правомощието на настоящата инстанция да я разгледа.</w:t>
        <w:tab/>
        <w:br/>
        <w:tab/>
        <w:t xml:space="preserve"/>
        <w:tab/>
        <w:br/>
        <w:tab/>
        <w:t xml:space="preserve">При този изход на производството и на основание чл. 78, ал. 4 ГПК в тежест на касатора следва да се поставят направените от ответника по касация разноски. Те се изразяват в уговореното и заплатено адвокатско възнаграждение.</w:t>
        <w:tab/>
        <w:br/>
        <w:tab/>
        <w:t xml:space="preserve"/>
        <w:tab/>
        <w:br/>
        <w:tab/>
        <w:t xml:space="preserve">При тези мотиви, съдътОПРЕДЕЛИ :ПРЕКРАТЯВА производството по гр. д. № 5158/2023 г. по описа на Върховен касационен съд на Република България, Гражданска колегия, Четвърто отделение.</w:t>
        <w:tab/>
        <w:br/>
        <w:tab/>
        <w:t xml:space="preserve"/>
        <w:tab/>
        <w:br/>
        <w:tab/>
        <w:t xml:space="preserve">ОСЪЖДА [община] с адрес [населено място], [улица] да заплати на И. Б. М. ЕГН [ЕГН] на основание чл. 78, ал. 4 ГПК сумата 1 600 лв. – разноски пред Върховен касационен съд. </w:t>
        <w:tab/>
        <w:br/>
        <w:tab/>
        <w:t xml:space="preserve"/>
        <w:tab/>
        <w:br/>
        <w:tab/>
        <w:t xml:space="preserve">Определението може да се обжалва от касатора в първата част пред друг състав на Върховния касационен съд с частна жалба в 1-седмичен срок от връчването на преписа.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